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20A1" w:rsidRDefault="00405AEE">
      <w:pPr>
        <w:tabs>
          <w:tab w:val="right" w:pos="9630"/>
        </w:tabs>
        <w:spacing w:after="0"/>
        <w:rPr>
          <w:rFonts w:ascii="Arial" w:hAnsi="Arial" w:cs="Arial"/>
        </w:rPr>
      </w:pPr>
      <w:r>
        <w:rPr>
          <w:rFonts w:ascii="Arial" w:hAnsi="Arial" w:cs="Arial"/>
          <w:b/>
        </w:rPr>
        <w:t>3GPP TSG RAN WG1 #1</w:t>
      </w:r>
      <w:r>
        <w:rPr>
          <w:rFonts w:ascii="Arial" w:hAnsi="Arial" w:cs="Arial" w:hint="eastAsia"/>
          <w:b/>
        </w:rPr>
        <w:t>1</w:t>
      </w:r>
      <w:r w:rsidR="00A61C0A">
        <w:rPr>
          <w:rFonts w:ascii="Arial" w:hAnsi="Arial" w:cs="Arial"/>
          <w:b/>
        </w:rPr>
        <w:t>5</w:t>
      </w:r>
      <w:r>
        <w:rPr>
          <w:rFonts w:ascii="Arial" w:hAnsi="Arial" w:cs="Arial" w:hint="eastAsia"/>
          <w:b/>
        </w:rPr>
        <w:t xml:space="preserve">  </w:t>
      </w:r>
      <w:r>
        <w:rPr>
          <w:rFonts w:ascii="Arial" w:hAnsi="Arial" w:cs="Arial"/>
          <w:b/>
        </w:rPr>
        <w:t xml:space="preserve">                                          </w:t>
      </w:r>
      <w:r>
        <w:rPr>
          <w:rFonts w:ascii="Arial" w:hAnsi="Arial" w:cs="Arial" w:hint="eastAsia"/>
          <w:b/>
        </w:rPr>
        <w:t xml:space="preserve">      </w:t>
      </w:r>
      <w:r>
        <w:rPr>
          <w:rFonts w:ascii="Arial" w:hAnsi="Arial" w:cs="Arial"/>
          <w:b/>
        </w:rPr>
        <w:t xml:space="preserve">                                 </w:t>
      </w:r>
      <w:r w:rsidR="005B540D">
        <w:rPr>
          <w:rFonts w:ascii="Arial" w:hAnsi="Arial" w:cs="Arial"/>
          <w:b/>
        </w:rPr>
        <w:t xml:space="preserve">       </w:t>
      </w:r>
      <w:r>
        <w:rPr>
          <w:rFonts w:ascii="Arial" w:hAnsi="Arial" w:cs="Arial"/>
          <w:b/>
        </w:rPr>
        <w:t xml:space="preserve">              </w:t>
      </w:r>
      <w:r>
        <w:rPr>
          <w:rFonts w:ascii="Arial" w:hAnsi="Arial" w:cs="Arial" w:hint="eastAsia"/>
          <w:b/>
        </w:rPr>
        <w:t xml:space="preserve">   R1-2</w:t>
      </w:r>
      <w:r w:rsidR="00A61C0A">
        <w:rPr>
          <w:rFonts w:ascii="Arial" w:hAnsi="Arial" w:cs="Arial"/>
          <w:b/>
        </w:rPr>
        <w:t>3</w:t>
      </w:r>
      <w:r w:rsidR="005B540D">
        <w:rPr>
          <w:rFonts w:ascii="Arial" w:hAnsi="Arial" w:cs="Arial"/>
          <w:b/>
        </w:rPr>
        <w:t>11021</w:t>
      </w:r>
    </w:p>
    <w:p w:rsidR="00FE20A1" w:rsidRDefault="00A61C0A">
      <w:pPr>
        <w:tabs>
          <w:tab w:val="center" w:pos="4536"/>
          <w:tab w:val="right" w:pos="8280"/>
          <w:tab w:val="right" w:pos="9639"/>
        </w:tabs>
        <w:spacing w:after="0"/>
        <w:ind w:left="402" w:right="2" w:hangingChars="200" w:hanging="402"/>
        <w:rPr>
          <w:rFonts w:ascii="Arial" w:hAnsi="Arial" w:cs="Arial"/>
          <w:b/>
        </w:rPr>
      </w:pPr>
      <w:r w:rsidRPr="000D2C43">
        <w:rPr>
          <w:rFonts w:ascii="Arial" w:hAnsi="Arial" w:cs="Arial"/>
          <w:b/>
        </w:rPr>
        <w:t>Chicago, USA, November 13</w:t>
      </w:r>
      <w:r w:rsidRPr="000D2C43">
        <w:rPr>
          <w:rFonts w:ascii="Arial" w:hAnsi="Arial" w:cs="Arial"/>
          <w:b/>
          <w:vertAlign w:val="superscript"/>
        </w:rPr>
        <w:t>th</w:t>
      </w:r>
      <w:r w:rsidRPr="000D2C43">
        <w:rPr>
          <w:rFonts w:ascii="Arial" w:hAnsi="Arial" w:cs="Arial"/>
          <w:b/>
        </w:rPr>
        <w:t xml:space="preserve"> – November 17</w:t>
      </w:r>
      <w:r w:rsidRPr="000D2C43">
        <w:rPr>
          <w:rFonts w:ascii="Arial" w:hAnsi="Arial" w:cs="Arial"/>
          <w:b/>
          <w:vertAlign w:val="superscript"/>
        </w:rPr>
        <w:t>th</w:t>
      </w:r>
      <w:r w:rsidRPr="000D2C43">
        <w:rPr>
          <w:rFonts w:ascii="Arial" w:hAnsi="Arial" w:cs="Arial"/>
          <w:b/>
        </w:rPr>
        <w:t>, 2023</w:t>
      </w:r>
    </w:p>
    <w:p w:rsidR="00FE20A1" w:rsidRDefault="00FE20A1">
      <w:pPr>
        <w:rPr>
          <w:rFonts w:ascii="Arial" w:hAnsi="Arial" w:cs="Arial"/>
        </w:rPr>
      </w:pPr>
    </w:p>
    <w:p w:rsidR="00FE20A1" w:rsidRDefault="00405AEE">
      <w:pPr>
        <w:spacing w:after="60"/>
        <w:ind w:left="1985" w:hanging="1985"/>
        <w:rPr>
          <w:rFonts w:ascii="Arial" w:hAnsi="Arial" w:cs="Arial"/>
          <w:bCs/>
        </w:rPr>
      </w:pPr>
      <w:r>
        <w:rPr>
          <w:rFonts w:ascii="Arial" w:hAnsi="Arial" w:cs="Arial"/>
          <w:b/>
        </w:rPr>
        <w:t>Source:</w:t>
      </w:r>
      <w:r>
        <w:rPr>
          <w:rFonts w:ascii="Arial" w:hAnsi="Arial" w:cs="Arial"/>
          <w:b/>
        </w:rPr>
        <w:tab/>
        <w:t>ZTE</w:t>
      </w:r>
    </w:p>
    <w:p w:rsidR="00FE20A1" w:rsidRDefault="00405AEE">
      <w:pPr>
        <w:spacing w:after="60"/>
        <w:ind w:left="1985" w:hanging="1985"/>
        <w:rPr>
          <w:rFonts w:ascii="Arial" w:hAnsi="Arial" w:cs="Arial"/>
          <w:bCs/>
        </w:rPr>
      </w:pPr>
      <w:r>
        <w:rPr>
          <w:rFonts w:ascii="Arial" w:hAnsi="Arial" w:cs="Arial"/>
          <w:b/>
        </w:rPr>
        <w:t>Title:</w:t>
      </w:r>
      <w:r>
        <w:rPr>
          <w:rFonts w:ascii="Arial" w:hAnsi="Arial" w:cs="Arial"/>
          <w:b/>
        </w:rPr>
        <w:tab/>
      </w:r>
      <w:r>
        <w:rPr>
          <w:rFonts w:ascii="Arial" w:hAnsi="Arial" w:cs="Arial" w:hint="eastAsia"/>
          <w:b/>
        </w:rPr>
        <w:t xml:space="preserve">Discussion on </w:t>
      </w:r>
      <w:r>
        <w:rPr>
          <w:rFonts w:ascii="Arial" w:hAnsi="Arial"/>
          <w:b/>
        </w:rPr>
        <w:t>dynamic waveform switching</w:t>
      </w:r>
    </w:p>
    <w:p w:rsidR="00FE20A1" w:rsidRDefault="00405AEE">
      <w:pPr>
        <w:spacing w:after="60"/>
        <w:ind w:left="1985" w:hanging="1985"/>
        <w:rPr>
          <w:rFonts w:ascii="Arial" w:hAnsi="Arial" w:cs="Arial"/>
          <w:bCs/>
        </w:rPr>
      </w:pPr>
      <w:r>
        <w:rPr>
          <w:rFonts w:ascii="Arial" w:hAnsi="Arial" w:cs="Arial"/>
          <w:b/>
        </w:rPr>
        <w:t>Agenda item:</w:t>
      </w:r>
      <w:r>
        <w:rPr>
          <w:rFonts w:ascii="Arial" w:hAnsi="Arial" w:cs="Arial"/>
          <w:b/>
        </w:rPr>
        <w:tab/>
      </w:r>
      <w:bookmarkStart w:id="0" w:name="OLE_LINK3"/>
      <w:r>
        <w:rPr>
          <w:rFonts w:ascii="Arial" w:hAnsi="Arial" w:cs="Arial"/>
          <w:b/>
        </w:rPr>
        <w:t>8.8.3</w:t>
      </w:r>
      <w:bookmarkEnd w:id="0"/>
    </w:p>
    <w:p w:rsidR="00FE20A1" w:rsidRDefault="00405AEE">
      <w:pPr>
        <w:spacing w:after="60"/>
        <w:ind w:left="1985" w:hanging="1985"/>
        <w:rPr>
          <w:rFonts w:ascii="Arial" w:hAnsi="Arial" w:cs="Arial"/>
          <w:b/>
          <w:bCs/>
        </w:rPr>
      </w:pPr>
      <w:r>
        <w:rPr>
          <w:rFonts w:ascii="Arial" w:hAnsi="Arial" w:cs="Arial"/>
          <w:b/>
        </w:rPr>
        <w:t>Document for:</w:t>
      </w:r>
      <w:r>
        <w:rPr>
          <w:rFonts w:ascii="Arial" w:hAnsi="Arial" w:cs="Arial"/>
          <w:bCs/>
        </w:rPr>
        <w:tab/>
      </w:r>
      <w:r>
        <w:rPr>
          <w:rFonts w:ascii="Arial" w:hAnsi="Arial" w:cs="Arial"/>
          <w:b/>
          <w:bCs/>
        </w:rPr>
        <w:t>Discussion and Decision</w:t>
      </w:r>
    </w:p>
    <w:p w:rsidR="00FE20A1" w:rsidRDefault="00405AEE">
      <w:pPr>
        <w:pStyle w:val="1"/>
        <w:pBdr>
          <w:top w:val="single" w:sz="12" w:space="0" w:color="auto"/>
        </w:pBdr>
      </w:pPr>
      <w:r>
        <w:t>Introduction</w:t>
      </w:r>
    </w:p>
    <w:p w:rsidR="00FE20A1" w:rsidRDefault="00405AEE" w:rsidP="00A61C0A">
      <w:pPr>
        <w:spacing w:afterLines="50" w:line="260" w:lineRule="auto"/>
      </w:pPr>
      <w:r>
        <w:t>In the RAN1#114</w:t>
      </w:r>
      <w:r w:rsidR="00A61C0A">
        <w:t>bis</w:t>
      </w:r>
      <w:r>
        <w:t xml:space="preserve"> meeting, </w:t>
      </w:r>
      <w:r w:rsidR="00A61C0A">
        <w:t>many</w:t>
      </w:r>
      <w:r>
        <w:t xml:space="preserve"> agreements and conclusions on dynamic waveform switching were achieved </w:t>
      </w:r>
      <w:r>
        <w:rPr>
          <w:vertAlign w:val="superscript"/>
        </w:rPr>
        <w:t>[1]</w:t>
      </w:r>
      <w:r>
        <w:t xml:space="preserve">. </w:t>
      </w:r>
    </w:p>
    <w:p w:rsidR="00FE20A1" w:rsidRDefault="00405AEE">
      <w:r>
        <w:t xml:space="preserve">In </w:t>
      </w:r>
      <w:r w:rsidR="00050E63">
        <w:t xml:space="preserve">section 2 of </w:t>
      </w:r>
      <w:r>
        <w:t xml:space="preserve">this contribution, </w:t>
      </w:r>
      <w:r w:rsidR="00050E63">
        <w:t>a</w:t>
      </w:r>
      <w:r>
        <w:t xml:space="preserve"> remaining issue about the BWP switching is </w:t>
      </w:r>
      <w:r w:rsidR="00A61C0A">
        <w:t>discuss</w:t>
      </w:r>
      <w:r>
        <w:t>ed.</w:t>
      </w:r>
      <w:r w:rsidR="00050E63">
        <w:t xml:space="preserve"> In section 3, the applicability to UL CA/DC is confirmed and the reply to the LS from RAN2 is proposed.</w:t>
      </w:r>
      <w:bookmarkStart w:id="1" w:name="_GoBack"/>
      <w:bookmarkEnd w:id="1"/>
    </w:p>
    <w:p w:rsidR="00FE20A1" w:rsidRDefault="00405AEE" w:rsidP="00050E63">
      <w:pPr>
        <w:pStyle w:val="1"/>
      </w:pPr>
      <w:r>
        <w:rPr>
          <w:rFonts w:hint="eastAsia"/>
        </w:rPr>
        <w:t>B</w:t>
      </w:r>
      <w:r>
        <w:t>WP switching</w:t>
      </w:r>
    </w:p>
    <w:p w:rsidR="00FE20A1" w:rsidRDefault="00A61C0A">
      <w:pPr>
        <w:spacing w:afterLines="50"/>
      </w:pPr>
      <w:r>
        <w:t xml:space="preserve">In RAN1#114bis meeting, some companies thought </w:t>
      </w:r>
      <w:r w:rsidR="001639E3">
        <w:t>no specification change for dynamic waveform switching is needed when BWP switching</w:t>
      </w:r>
      <w:r w:rsidR="00050E63">
        <w:t xml:space="preserve"> combining with DWS</w:t>
      </w:r>
      <w:r w:rsidR="001639E3">
        <w:t>. It seems reasonable as the e</w:t>
      </w:r>
      <w:r w:rsidR="001639E3" w:rsidRPr="00DF4E72">
        <w:rPr>
          <w:lang w:eastAsia="ko-KR"/>
        </w:rPr>
        <w:t>xisting zero-padding procedure</w:t>
      </w:r>
      <w:r w:rsidR="001639E3">
        <w:rPr>
          <w:lang w:eastAsia="ko-KR"/>
        </w:rPr>
        <w:t xml:space="preserve"> for BWP switching</w:t>
      </w:r>
      <w:r w:rsidR="001639E3" w:rsidRPr="00DF4E72">
        <w:rPr>
          <w:lang w:eastAsia="ko-KR"/>
        </w:rPr>
        <w:t xml:space="preserve"> from TS38.213 </w:t>
      </w:r>
      <w:r w:rsidR="001639E3">
        <w:rPr>
          <w:lang w:eastAsia="ko-KR"/>
        </w:rPr>
        <w:t xml:space="preserve">still </w:t>
      </w:r>
      <w:r w:rsidR="001639E3" w:rsidRPr="00DF4E72">
        <w:rPr>
          <w:lang w:eastAsia="ko-KR"/>
        </w:rPr>
        <w:t>works</w:t>
      </w:r>
      <w:r w:rsidR="001639E3">
        <w:t xml:space="preserve"> well. But one company </w:t>
      </w:r>
      <w:r w:rsidR="001639E3" w:rsidRPr="001639E3">
        <w:rPr>
          <w:vertAlign w:val="superscript"/>
        </w:rPr>
        <w:t xml:space="preserve">[2] </w:t>
      </w:r>
      <w:r w:rsidR="001639E3">
        <w:t xml:space="preserve">raised that an error case should be specified. </w:t>
      </w:r>
    </w:p>
    <w:p w:rsidR="001639E3" w:rsidRDefault="001639E3">
      <w:pPr>
        <w:spacing w:afterLines="50"/>
        <w:rPr>
          <w:lang w:eastAsia="ko-KR"/>
        </w:rPr>
      </w:pPr>
      <w:r>
        <w:rPr>
          <w:rFonts w:hint="eastAsia"/>
        </w:rPr>
        <w:t>T</w:t>
      </w:r>
      <w:r>
        <w:t xml:space="preserve">he issue of the error case </w:t>
      </w:r>
      <w:r>
        <w:rPr>
          <w:lang w:val="en-GB"/>
        </w:rPr>
        <w:t>exist only in the scenario that “</w:t>
      </w:r>
      <w:r w:rsidRPr="00672C84">
        <w:rPr>
          <w:lang w:eastAsia="ko-KR"/>
        </w:rPr>
        <w:t>DWS feature is enabled for the indicated BWP</w:t>
      </w:r>
      <w:r>
        <w:rPr>
          <w:lang w:eastAsia="ko-KR"/>
        </w:rPr>
        <w:t xml:space="preserve"> but not the active BWP</w:t>
      </w:r>
      <w:r w:rsidRPr="00672C84">
        <w:rPr>
          <w:lang w:eastAsia="ko-KR"/>
        </w:rPr>
        <w:t xml:space="preserve">, and the </w:t>
      </w:r>
      <w:r w:rsidRPr="001639E3">
        <w:rPr>
          <w:i/>
          <w:lang w:eastAsia="ko-KR"/>
        </w:rPr>
        <w:t>resourceAllocation</w:t>
      </w:r>
      <w:r w:rsidRPr="00672C84">
        <w:rPr>
          <w:lang w:eastAsia="ko-KR"/>
        </w:rPr>
        <w:t xml:space="preserve"> parameter in the indicated BWP is configured to </w:t>
      </w:r>
      <w:r w:rsidRPr="001639E3">
        <w:rPr>
          <w:i/>
          <w:lang w:eastAsia="ko-KR"/>
        </w:rPr>
        <w:t>dynamicSwitch</w:t>
      </w:r>
      <w:r w:rsidRPr="00672C84">
        <w:rPr>
          <w:lang w:eastAsia="ko-KR"/>
        </w:rPr>
        <w:t xml:space="preserve">, and bit width of the </w:t>
      </w:r>
      <w:r w:rsidRPr="00845C51">
        <w:rPr>
          <w:lang w:eastAsia="ko-KR"/>
        </w:rPr>
        <w:t>FDRA</w:t>
      </w:r>
      <w:r w:rsidRPr="00672C84">
        <w:rPr>
          <w:lang w:eastAsia="ko-KR"/>
        </w:rPr>
        <w:t xml:space="preserve"> field of the active BWP is smaller than bit width of the </w:t>
      </w:r>
      <w:r w:rsidRPr="00845C51">
        <w:rPr>
          <w:lang w:eastAsia="ko-KR"/>
        </w:rPr>
        <w:t>FDRA</w:t>
      </w:r>
      <w:r w:rsidRPr="00672C84">
        <w:rPr>
          <w:lang w:eastAsia="ko-KR"/>
        </w:rPr>
        <w:t xml:space="preserve"> field of the indicated BWP</w:t>
      </w:r>
      <w:r>
        <w:rPr>
          <w:lang w:eastAsia="ko-KR"/>
        </w:rPr>
        <w:t xml:space="preserve">”. </w:t>
      </w:r>
      <w:r w:rsidR="00687F58">
        <w:rPr>
          <w:lang w:eastAsia="ko-KR"/>
        </w:rPr>
        <w:t xml:space="preserve">The issue </w:t>
      </w:r>
      <w:r w:rsidR="00050E63">
        <w:rPr>
          <w:lang w:eastAsia="ko-KR"/>
        </w:rPr>
        <w:t>seems</w:t>
      </w:r>
      <w:r w:rsidR="00687F58">
        <w:rPr>
          <w:lang w:eastAsia="ko-KR"/>
        </w:rPr>
        <w:t xml:space="preserve"> valid and should be further considered.</w:t>
      </w:r>
    </w:p>
    <w:p w:rsidR="001639E3" w:rsidRDefault="001639E3">
      <w:pPr>
        <w:spacing w:afterLines="50"/>
        <w:rPr>
          <w:lang w:eastAsia="ko-KR"/>
        </w:rPr>
      </w:pPr>
      <w:r>
        <w:rPr>
          <w:lang w:eastAsia="ko-KR"/>
        </w:rPr>
        <w:t xml:space="preserve">However </w:t>
      </w:r>
      <w:r w:rsidR="00845C51">
        <w:rPr>
          <w:lang w:eastAsia="ko-KR"/>
        </w:rPr>
        <w:t>there was an agreement in last meeting related to FDRA as</w:t>
      </w:r>
      <w:r w:rsidR="00050E63">
        <w:rPr>
          <w:lang w:eastAsia="ko-KR"/>
        </w:rPr>
        <w:t xml:space="preserve"> below</w:t>
      </w:r>
      <w:r w:rsidR="00845C51">
        <w:rPr>
          <w:lang w:eastAsia="ko-KR"/>
        </w:rPr>
        <w:t>:</w:t>
      </w:r>
    </w:p>
    <w:tbl>
      <w:tblPr>
        <w:tblStyle w:val="aa"/>
        <w:tblW w:w="0" w:type="auto"/>
        <w:tblLook w:val="04A0" w:firstRow="1" w:lastRow="0" w:firstColumn="1" w:lastColumn="0" w:noHBand="0" w:noVBand="1"/>
      </w:tblPr>
      <w:tblGrid>
        <w:gridCol w:w="9629"/>
      </w:tblGrid>
      <w:tr w:rsidR="00845C51" w:rsidTr="00845C51">
        <w:tc>
          <w:tcPr>
            <w:tcW w:w="9629" w:type="dxa"/>
          </w:tcPr>
          <w:p w:rsidR="00845C51" w:rsidRPr="009B76A9" w:rsidRDefault="00845C51" w:rsidP="00845C51">
            <w:pPr>
              <w:rPr>
                <w:highlight w:val="green"/>
              </w:rPr>
            </w:pPr>
            <w:r w:rsidRPr="009B76A9">
              <w:rPr>
                <w:b/>
                <w:bCs/>
                <w:highlight w:val="green"/>
              </w:rPr>
              <w:t>Agreement</w:t>
            </w:r>
          </w:p>
          <w:p w:rsidR="00845C51" w:rsidRPr="009B76A9" w:rsidRDefault="00845C51" w:rsidP="00845C51">
            <w:pPr>
              <w:rPr>
                <w:lang w:eastAsia="x-none"/>
              </w:rPr>
            </w:pPr>
            <w:r w:rsidRPr="009B76A9">
              <w:t xml:space="preserve">For PUSCH scheduled by DCI format 0_1 (0_2) </w:t>
            </w:r>
            <w:r w:rsidRPr="009B76A9">
              <w:rPr>
                <w:rFonts w:eastAsia="Microsoft YaHei UI"/>
              </w:rPr>
              <w:t>in PDCCH with CRC scrambled with C-RNTI, MCS-C-RNTI, or CS-RNTI with NDI=1 and [</w:t>
            </w:r>
            <w:r w:rsidRPr="009B76A9">
              <w:rPr>
                <w:rFonts w:eastAsia="Microsoft YaHei UI"/>
                <w:i/>
                <w:iCs/>
              </w:rPr>
              <w:t>dynamicTransformPrecoderIndicationDCI-0-1</w:t>
            </w:r>
            <w:r w:rsidRPr="009B76A9">
              <w:rPr>
                <w:rFonts w:eastAsia="Microsoft YaHei UI"/>
              </w:rPr>
              <w:t>]  ([</w:t>
            </w:r>
            <w:r w:rsidRPr="009B76A9">
              <w:rPr>
                <w:rFonts w:eastAsia="Microsoft YaHei UI"/>
                <w:i/>
                <w:iCs/>
              </w:rPr>
              <w:t>dynamicTransformPrecoderIndicationDCI-0-2</w:t>
            </w:r>
            <w:r w:rsidRPr="009B76A9">
              <w:rPr>
                <w:rFonts w:eastAsia="Microsoft YaHei UI"/>
              </w:rPr>
              <w:t>]) set to ‘enabled’</w:t>
            </w:r>
            <w:r w:rsidRPr="009B76A9">
              <w:t xml:space="preserve">: </w:t>
            </w:r>
          </w:p>
          <w:p w:rsidR="00845C51" w:rsidRPr="009B76A9" w:rsidRDefault="00845C51" w:rsidP="00845C51">
            <w:pPr>
              <w:numPr>
                <w:ilvl w:val="2"/>
                <w:numId w:val="14"/>
              </w:numPr>
              <w:snapToGrid/>
              <w:spacing w:after="0"/>
              <w:jc w:val="left"/>
              <w:rPr>
                <w:lang w:eastAsia="x-none"/>
              </w:rPr>
            </w:pPr>
            <w:r w:rsidRPr="009B76A9">
              <w:t>If higher layers and/or DCI set uplink resource allocation to type 0, UE does not expect that Transform precoder indicator field indicates that transform precoder is enabled.</w:t>
            </w:r>
          </w:p>
          <w:p w:rsidR="00845C51" w:rsidRPr="00845C51" w:rsidRDefault="00845C51" w:rsidP="00845C51">
            <w:pPr>
              <w:numPr>
                <w:ilvl w:val="2"/>
                <w:numId w:val="14"/>
              </w:numPr>
              <w:snapToGrid/>
              <w:spacing w:after="0"/>
              <w:jc w:val="left"/>
              <w:rPr>
                <w:lang w:eastAsia="ko-KR"/>
              </w:rPr>
            </w:pPr>
            <w:r>
              <w:rPr>
                <w:rFonts w:eastAsia="等线" w:hint="eastAsia"/>
              </w:rPr>
              <w:t>N</w:t>
            </w:r>
            <w:r>
              <w:rPr>
                <w:rFonts w:eastAsia="等线"/>
              </w:rPr>
              <w:t>ote: further investigate any specification change.</w:t>
            </w:r>
          </w:p>
        </w:tc>
      </w:tr>
    </w:tbl>
    <w:p w:rsidR="00845C51" w:rsidRDefault="00845C51">
      <w:pPr>
        <w:spacing w:afterLines="50"/>
        <w:rPr>
          <w:rFonts w:eastAsia="Malgun Gothic"/>
          <w:lang w:eastAsia="ko-KR"/>
        </w:rPr>
      </w:pPr>
    </w:p>
    <w:p w:rsidR="00845C51" w:rsidRDefault="00845C51">
      <w:pPr>
        <w:spacing w:afterLines="50"/>
      </w:pPr>
      <w:r>
        <w:rPr>
          <w:rFonts w:eastAsiaTheme="minorEastAsia" w:hint="eastAsia"/>
        </w:rPr>
        <w:t>I</w:t>
      </w:r>
      <w:r>
        <w:rPr>
          <w:rFonts w:eastAsiaTheme="minorEastAsia"/>
        </w:rPr>
        <w:t>t seems that</w:t>
      </w:r>
      <w:r w:rsidR="00050E63">
        <w:rPr>
          <w:rFonts w:eastAsiaTheme="minorEastAsia"/>
        </w:rPr>
        <w:t xml:space="preserve"> above </w:t>
      </w:r>
      <w:r>
        <w:rPr>
          <w:rFonts w:eastAsiaTheme="minorEastAsia"/>
        </w:rPr>
        <w:t xml:space="preserve">scenario </w:t>
      </w:r>
      <w:r w:rsidR="00050E63">
        <w:rPr>
          <w:rFonts w:eastAsiaTheme="minorEastAsia"/>
        </w:rPr>
        <w:t xml:space="preserve">mentioned in </w:t>
      </w:r>
      <w:r w:rsidR="00050E63" w:rsidRPr="00050E63">
        <w:rPr>
          <w:rFonts w:eastAsiaTheme="minorEastAsia"/>
          <w:vertAlign w:val="superscript"/>
        </w:rPr>
        <w:t>[2]</w:t>
      </w:r>
      <w:r w:rsidR="00050E63">
        <w:rPr>
          <w:rFonts w:eastAsiaTheme="minorEastAsia"/>
        </w:rPr>
        <w:t xml:space="preserve"> </w:t>
      </w:r>
      <w:r>
        <w:rPr>
          <w:rFonts w:eastAsiaTheme="minorEastAsia"/>
        </w:rPr>
        <w:t xml:space="preserve">has been covered by the agreement </w:t>
      </w:r>
      <w:r w:rsidR="00050E63">
        <w:rPr>
          <w:rFonts w:eastAsiaTheme="minorEastAsia"/>
        </w:rPr>
        <w:t xml:space="preserve">related to FDRA </w:t>
      </w:r>
      <w:r>
        <w:rPr>
          <w:rFonts w:eastAsiaTheme="minorEastAsia"/>
        </w:rPr>
        <w:t xml:space="preserve">that when the error case happens, </w:t>
      </w:r>
      <w:r w:rsidRPr="009B76A9">
        <w:t>UE does not expect that Transform precoder indicator field indicates that transform precoder is enabled.</w:t>
      </w:r>
      <w:r>
        <w:t xml:space="preserve"> But actually, when the </w:t>
      </w:r>
      <w:r w:rsidRPr="00DF4E72">
        <w:rPr>
          <w:lang w:eastAsia="ko-KR"/>
        </w:rPr>
        <w:t>zero-padding procedure</w:t>
      </w:r>
      <w:r>
        <w:rPr>
          <w:lang w:eastAsia="ko-KR"/>
        </w:rPr>
        <w:t xml:space="preserve"> is applied when BWP switching, </w:t>
      </w:r>
      <w:r w:rsidR="00050E63">
        <w:rPr>
          <w:lang w:eastAsia="ko-KR"/>
        </w:rPr>
        <w:t xml:space="preserve">regarding the bit ‘0’, </w:t>
      </w:r>
      <w:r>
        <w:rPr>
          <w:lang w:eastAsia="ko-KR"/>
        </w:rPr>
        <w:t>UE always assume</w:t>
      </w:r>
      <w:r w:rsidR="00050E63">
        <w:rPr>
          <w:lang w:eastAsia="ko-KR"/>
        </w:rPr>
        <w:t>s</w:t>
      </w:r>
      <w:r>
        <w:rPr>
          <w:lang w:eastAsia="ko-KR"/>
        </w:rPr>
        <w:t xml:space="preserve"> the </w:t>
      </w:r>
      <w:r>
        <w:t>t</w:t>
      </w:r>
      <w:r w:rsidRPr="009B76A9">
        <w:t xml:space="preserve">ransform precoder indicator field </w:t>
      </w:r>
      <w:r>
        <w:t>to enable</w:t>
      </w:r>
      <w:r w:rsidRPr="009B76A9">
        <w:t xml:space="preserve"> transform precoder</w:t>
      </w:r>
      <w:r>
        <w:t>. This UE behavior conflict</w:t>
      </w:r>
      <w:r w:rsidR="00050E63">
        <w:t>s</w:t>
      </w:r>
      <w:r>
        <w:t xml:space="preserve"> with the agreement and </w:t>
      </w:r>
      <w:r w:rsidR="00050E63">
        <w:t xml:space="preserve">therefor </w:t>
      </w:r>
      <w:r>
        <w:t>change on specification is needed to redefine the UE behavior under such scenario.</w:t>
      </w:r>
    </w:p>
    <w:p w:rsidR="00845C51" w:rsidRPr="00845C51" w:rsidRDefault="00845C51">
      <w:pPr>
        <w:spacing w:afterLines="50"/>
        <w:rPr>
          <w:rFonts w:eastAsiaTheme="minorEastAsia"/>
        </w:rPr>
      </w:pPr>
      <w:r>
        <w:rPr>
          <w:rFonts w:eastAsiaTheme="minorEastAsia" w:hint="eastAsia"/>
        </w:rPr>
        <w:t>A</w:t>
      </w:r>
      <w:r>
        <w:rPr>
          <w:rFonts w:eastAsiaTheme="minorEastAsia"/>
        </w:rPr>
        <w:t xml:space="preserve"> simple way to </w:t>
      </w:r>
      <w:r w:rsidR="00050E63">
        <w:rPr>
          <w:rFonts w:eastAsiaTheme="minorEastAsia"/>
        </w:rPr>
        <w:t>re</w:t>
      </w:r>
      <w:r>
        <w:rPr>
          <w:rFonts w:eastAsiaTheme="minorEastAsia"/>
        </w:rPr>
        <w:t>define the UE behavior under such scenario is</w:t>
      </w:r>
      <w:r w:rsidR="00687F58">
        <w:rPr>
          <w:rFonts w:eastAsiaTheme="minorEastAsia"/>
        </w:rPr>
        <w:t xml:space="preserve"> for UE</w:t>
      </w:r>
      <w:r>
        <w:rPr>
          <w:rFonts w:eastAsiaTheme="minorEastAsia"/>
        </w:rPr>
        <w:t xml:space="preserve"> to ignore the </w:t>
      </w:r>
      <w:r w:rsidR="00687F58">
        <w:rPr>
          <w:rFonts w:eastAsiaTheme="minorEastAsia"/>
        </w:rPr>
        <w:t>zero padded when BWP switching.</w:t>
      </w:r>
    </w:p>
    <w:p w:rsidR="00FE20A1" w:rsidRDefault="00405AEE">
      <w:pPr>
        <w:rPr>
          <w:b/>
          <w:bCs/>
        </w:rPr>
      </w:pPr>
      <w:r>
        <w:rPr>
          <w:rFonts w:hint="eastAsia"/>
          <w:b/>
          <w:i/>
        </w:rPr>
        <w:t>P</w:t>
      </w:r>
      <w:r w:rsidR="00687F58">
        <w:rPr>
          <w:b/>
          <w:i/>
        </w:rPr>
        <w:t>roposal 1</w:t>
      </w:r>
      <w:r>
        <w:rPr>
          <w:b/>
          <w:i/>
        </w:rPr>
        <w:t>:</w:t>
      </w:r>
      <w:r>
        <w:rPr>
          <w:rFonts w:eastAsiaTheme="minorEastAsia"/>
          <w:i/>
        </w:rPr>
        <w:t xml:space="preserve"> </w:t>
      </w:r>
      <w:r w:rsidR="00687F58">
        <w:rPr>
          <w:rFonts w:eastAsiaTheme="minorEastAsia"/>
          <w:i/>
        </w:rPr>
        <w:t>I</w:t>
      </w:r>
      <w:r>
        <w:rPr>
          <w:rFonts w:eastAsiaTheme="minorEastAsia"/>
          <w:i/>
        </w:rPr>
        <w:t xml:space="preserve">f </w:t>
      </w:r>
      <w:r w:rsidR="00687F58" w:rsidRPr="00687F58">
        <w:rPr>
          <w:rFonts w:eastAsiaTheme="minorEastAsia"/>
          <w:i/>
        </w:rPr>
        <w:t>DWS feature is enabled for the indicated BWP but not the active BWP, and the resourceAllocation parameter in the indicated BWP is configured to dynamicSwitch, and bit width of the FDRA field of the active BWP is smaller than bit width of the FDRA field of the indicated BWP</w:t>
      </w:r>
      <w:r>
        <w:rPr>
          <w:rFonts w:eastAsiaTheme="minorEastAsia"/>
          <w:i/>
        </w:rPr>
        <w:t>,</w:t>
      </w:r>
      <w:r>
        <w:t xml:space="preserve"> </w:t>
      </w:r>
      <w:r>
        <w:rPr>
          <w:rFonts w:eastAsiaTheme="minorEastAsia"/>
          <w:i/>
        </w:rPr>
        <w:t xml:space="preserve">UE will ignore the </w:t>
      </w:r>
      <w:r w:rsidR="00687F58" w:rsidRPr="00687F58">
        <w:rPr>
          <w:rFonts w:eastAsiaTheme="minorEastAsia"/>
          <w:i/>
        </w:rPr>
        <w:t>transform precoder indicator field upon BWP switching</w:t>
      </w:r>
      <w:r>
        <w:rPr>
          <w:rFonts w:eastAsiaTheme="minorEastAsia"/>
          <w:i/>
        </w:rPr>
        <w:t>.</w:t>
      </w:r>
    </w:p>
    <w:p w:rsidR="005175AE" w:rsidRDefault="005175AE"/>
    <w:p w:rsidR="005175AE" w:rsidRDefault="005175AE" w:rsidP="00050E63">
      <w:pPr>
        <w:pStyle w:val="1"/>
      </w:pPr>
      <w:r>
        <w:t>Applicability to UL CA/DC</w:t>
      </w:r>
      <w:r w:rsidR="00050E63">
        <w:t xml:space="preserve"> and reply LS from RAN2</w:t>
      </w:r>
    </w:p>
    <w:p w:rsidR="005175AE" w:rsidRDefault="00321CDC" w:rsidP="005175AE">
      <w:r>
        <w:rPr>
          <w:rFonts w:hint="eastAsia"/>
        </w:rPr>
        <w:t>P</w:t>
      </w:r>
      <w:r>
        <w:t>er the LS from RAN2 to RAN1</w:t>
      </w:r>
      <w:r w:rsidR="00990C22">
        <w:t xml:space="preserve"> </w:t>
      </w:r>
      <w:r w:rsidR="00990C22" w:rsidRPr="00990C22">
        <w:rPr>
          <w:vertAlign w:val="superscript"/>
        </w:rPr>
        <w:t>[3]</w:t>
      </w:r>
      <w:r>
        <w:t>, RAN2 informed RAN1 the agreement as below:</w:t>
      </w:r>
    </w:p>
    <w:tbl>
      <w:tblPr>
        <w:tblStyle w:val="aa"/>
        <w:tblW w:w="0" w:type="auto"/>
        <w:tblLook w:val="04A0" w:firstRow="1" w:lastRow="0" w:firstColumn="1" w:lastColumn="0" w:noHBand="0" w:noVBand="1"/>
      </w:tblPr>
      <w:tblGrid>
        <w:gridCol w:w="9629"/>
      </w:tblGrid>
      <w:tr w:rsidR="00321CDC" w:rsidTr="00321CDC">
        <w:tc>
          <w:tcPr>
            <w:tcW w:w="9629" w:type="dxa"/>
          </w:tcPr>
          <w:p w:rsidR="00321CDC" w:rsidRDefault="00321CDC" w:rsidP="005175AE">
            <w:r w:rsidRPr="00CD63E8">
              <w:t>Introduce new DWS MAC CE for reporting PHR for assumed and non-assumed PUSCH transmissions (we will not introduce a separate MAC CE just containing the assumed PHR) – We will design this to support DC/CA scenario (can indicate this to RAN1 and let us know if this has any impact to their design)</w:t>
            </w:r>
          </w:p>
          <w:p w:rsidR="00321CDC" w:rsidRDefault="00321CDC" w:rsidP="005175AE">
            <w:r w:rsidRPr="00CD63E8">
              <w:t>No new PHR triggers will be defined in RAN2</w:t>
            </w:r>
          </w:p>
        </w:tc>
      </w:tr>
    </w:tbl>
    <w:p w:rsidR="00321CDC" w:rsidRDefault="00321CDC" w:rsidP="005175AE"/>
    <w:p w:rsidR="00321CDC" w:rsidRDefault="00321CDC" w:rsidP="005175AE">
      <w:r>
        <w:rPr>
          <w:rFonts w:hint="eastAsia"/>
        </w:rPr>
        <w:t>A</w:t>
      </w:r>
      <w:r>
        <w:t xml:space="preserve">nd RAN2 also </w:t>
      </w:r>
      <w:r w:rsidRPr="00321CDC">
        <w:t>requests RAN1 to inform RAN2 if a UE reporting PCMAX for actual and assumed PUSCH to support the DC/CA scenario has any impact to RAN1’s design in addition to that of the single carrier case.</w:t>
      </w:r>
    </w:p>
    <w:p w:rsidR="00990C22" w:rsidRDefault="00990C22" w:rsidP="005175AE">
      <w:pPr>
        <w:rPr>
          <w:lang w:val="en-GB"/>
        </w:rPr>
      </w:pPr>
      <w:r>
        <w:rPr>
          <w:lang w:val="en-GB"/>
        </w:rPr>
        <w:lastRenderedPageBreak/>
        <w:t xml:space="preserve">As </w:t>
      </w:r>
      <w:r>
        <w:rPr>
          <w:color w:val="000000"/>
        </w:rPr>
        <w:t xml:space="preserve">dynamic waveform switching has been supported to PUSCH scheduled by DCI format 0_1/0_2, </w:t>
      </w:r>
      <w:r w:rsidR="00050E63">
        <w:rPr>
          <w:lang w:val="en-GB"/>
        </w:rPr>
        <w:t>it</w:t>
      </w:r>
      <w:r w:rsidR="005175AE">
        <w:rPr>
          <w:lang w:val="en-GB"/>
        </w:rPr>
        <w:t xml:space="preserve"> seems the functionality of dynamic waveform switching </w:t>
      </w:r>
      <w:r w:rsidR="0078066D">
        <w:rPr>
          <w:lang w:val="en-GB"/>
        </w:rPr>
        <w:t>is</w:t>
      </w:r>
      <w:r w:rsidR="005175AE">
        <w:rPr>
          <w:lang w:val="en-GB"/>
        </w:rPr>
        <w:t xml:space="preserve"> naturally supported to UL CA</w:t>
      </w:r>
      <w:r>
        <w:rPr>
          <w:lang w:val="en-GB"/>
        </w:rPr>
        <w:t>/DC</w:t>
      </w:r>
      <w:r w:rsidR="005175AE">
        <w:rPr>
          <w:lang w:val="en-GB"/>
        </w:rPr>
        <w:t xml:space="preserve"> case. </w:t>
      </w:r>
      <w:r>
        <w:rPr>
          <w:lang w:val="en-GB"/>
        </w:rPr>
        <w:t xml:space="preserve">Then the PHR report enhancement for DWS should be also applicable to CA/DC. </w:t>
      </w:r>
    </w:p>
    <w:p w:rsidR="005175AE" w:rsidRDefault="00990C22" w:rsidP="005175AE">
      <w:pPr>
        <w:rPr>
          <w:rFonts w:eastAsiaTheme="minorEastAsia"/>
          <w:lang w:val="en-GB"/>
        </w:rPr>
      </w:pPr>
      <w:r>
        <w:rPr>
          <w:lang w:val="en-GB"/>
        </w:rPr>
        <w:t xml:space="preserve">Furthermore, there is no further </w:t>
      </w:r>
      <w:r w:rsidR="0078066D">
        <w:rPr>
          <w:lang w:val="en-GB"/>
        </w:rPr>
        <w:t xml:space="preserve">RAN1 </w:t>
      </w:r>
      <w:r>
        <w:rPr>
          <w:lang w:val="en-GB"/>
        </w:rPr>
        <w:t>specification impact on the PHR report enhancement for DWS in CA/DC</w:t>
      </w:r>
      <w:r w:rsidR="005175AE">
        <w:t xml:space="preserve">. </w:t>
      </w:r>
      <w:r>
        <w:rPr>
          <w:rFonts w:eastAsiaTheme="minorEastAsia"/>
          <w:lang w:val="en-GB"/>
        </w:rPr>
        <w:t>Regarding the LS from RAN2</w:t>
      </w:r>
      <w:r w:rsidR="005175AE">
        <w:rPr>
          <w:rFonts w:eastAsiaTheme="minorEastAsia"/>
          <w:lang w:val="en-GB"/>
        </w:rPr>
        <w:t>, it is</w:t>
      </w:r>
      <w:r>
        <w:rPr>
          <w:rFonts w:eastAsiaTheme="minorEastAsia"/>
          <w:lang w:val="en-GB"/>
        </w:rPr>
        <w:t xml:space="preserve"> better to reply the LS with the confirmation that</w:t>
      </w:r>
      <w:r w:rsidR="005175AE">
        <w:rPr>
          <w:rFonts w:eastAsiaTheme="minorEastAsia"/>
          <w:lang w:val="en-GB"/>
        </w:rPr>
        <w:t xml:space="preserve"> the </w:t>
      </w:r>
      <w:r w:rsidR="0078066D">
        <w:rPr>
          <w:rFonts w:eastAsiaTheme="minorEastAsia"/>
          <w:lang w:val="en-GB"/>
        </w:rPr>
        <w:t xml:space="preserve">PHR report enhancement for </w:t>
      </w:r>
      <w:r w:rsidR="005175AE">
        <w:rPr>
          <w:lang w:val="en-GB"/>
        </w:rPr>
        <w:t>dynamic waveform switching is supported to UL CA</w:t>
      </w:r>
      <w:r>
        <w:rPr>
          <w:lang w:val="en-GB"/>
        </w:rPr>
        <w:t xml:space="preserve">/DC and it has no </w:t>
      </w:r>
      <w:r w:rsidR="0078066D">
        <w:rPr>
          <w:lang w:val="en-GB"/>
        </w:rPr>
        <w:t xml:space="preserve">more </w:t>
      </w:r>
      <w:r>
        <w:rPr>
          <w:lang w:val="en-GB"/>
        </w:rPr>
        <w:t>RAN1 specification impact</w:t>
      </w:r>
      <w:r w:rsidR="005175AE">
        <w:rPr>
          <w:lang w:val="en-GB"/>
        </w:rPr>
        <w:t>.</w:t>
      </w:r>
    </w:p>
    <w:p w:rsidR="005175AE" w:rsidRDefault="005175AE" w:rsidP="005175AE">
      <w:pPr>
        <w:rPr>
          <w:b/>
          <w:bCs/>
        </w:rPr>
      </w:pPr>
      <w:r>
        <w:rPr>
          <w:rFonts w:hint="eastAsia"/>
          <w:b/>
          <w:i/>
        </w:rPr>
        <w:t>P</w:t>
      </w:r>
      <w:r>
        <w:rPr>
          <w:b/>
          <w:i/>
        </w:rPr>
        <w:t xml:space="preserve">roposal </w:t>
      </w:r>
      <w:r w:rsidR="00990C22">
        <w:rPr>
          <w:b/>
          <w:i/>
        </w:rPr>
        <w:t>2</w:t>
      </w:r>
      <w:r>
        <w:rPr>
          <w:b/>
          <w:i/>
        </w:rPr>
        <w:t>:</w:t>
      </w:r>
      <w:r>
        <w:rPr>
          <w:rFonts w:eastAsiaTheme="minorEastAsia"/>
          <w:i/>
        </w:rPr>
        <w:t xml:space="preserve"> </w:t>
      </w:r>
      <w:r w:rsidR="00990C22">
        <w:rPr>
          <w:rFonts w:eastAsiaTheme="minorEastAsia"/>
          <w:i/>
        </w:rPr>
        <w:t>R</w:t>
      </w:r>
      <w:r w:rsidR="00990C22" w:rsidRPr="00990C22">
        <w:rPr>
          <w:rFonts w:eastAsiaTheme="minorEastAsia"/>
          <w:i/>
        </w:rPr>
        <w:t xml:space="preserve">eply the LS </w:t>
      </w:r>
      <w:r w:rsidR="00990C22">
        <w:rPr>
          <w:rFonts w:eastAsiaTheme="minorEastAsia"/>
          <w:i/>
        </w:rPr>
        <w:t>from RAN2 to</w:t>
      </w:r>
      <w:r w:rsidR="00990C22" w:rsidRPr="00990C22">
        <w:rPr>
          <w:rFonts w:eastAsiaTheme="minorEastAsia"/>
          <w:i/>
        </w:rPr>
        <w:t xml:space="preserve"> confirm that </w:t>
      </w:r>
      <w:r w:rsidR="0078066D" w:rsidRPr="0078066D">
        <w:rPr>
          <w:rFonts w:eastAsiaTheme="minorEastAsia"/>
          <w:i/>
        </w:rPr>
        <w:t xml:space="preserve">PHR report enhancement for </w:t>
      </w:r>
      <w:r w:rsidR="00990C22" w:rsidRPr="00990C22">
        <w:rPr>
          <w:rFonts w:eastAsiaTheme="minorEastAsia"/>
          <w:i/>
        </w:rPr>
        <w:t xml:space="preserve">dynamic waveform switching is supported to UL CA/DC and </w:t>
      </w:r>
      <w:r w:rsidR="00990C22">
        <w:rPr>
          <w:rFonts w:eastAsiaTheme="minorEastAsia"/>
          <w:i/>
        </w:rPr>
        <w:t>there is</w:t>
      </w:r>
      <w:r w:rsidR="00990C22" w:rsidRPr="00990C22">
        <w:rPr>
          <w:rFonts w:eastAsiaTheme="minorEastAsia"/>
          <w:i/>
        </w:rPr>
        <w:t xml:space="preserve"> no </w:t>
      </w:r>
      <w:r w:rsidR="00990C22">
        <w:rPr>
          <w:rFonts w:eastAsiaTheme="minorEastAsia"/>
          <w:i/>
        </w:rPr>
        <w:t xml:space="preserve">additional </w:t>
      </w:r>
      <w:r w:rsidR="00990C22" w:rsidRPr="00990C22">
        <w:rPr>
          <w:rFonts w:eastAsiaTheme="minorEastAsia"/>
          <w:i/>
        </w:rPr>
        <w:t>RAN1 specification impact</w:t>
      </w:r>
      <w:r>
        <w:rPr>
          <w:rFonts w:eastAsiaTheme="minorEastAsia"/>
          <w:i/>
        </w:rPr>
        <w:t>.</w:t>
      </w:r>
    </w:p>
    <w:p w:rsidR="005175AE" w:rsidRPr="005175AE" w:rsidRDefault="005175AE"/>
    <w:p w:rsidR="00FE20A1" w:rsidRDefault="00405AEE">
      <w:pPr>
        <w:pStyle w:val="1"/>
      </w:pPr>
      <w:r>
        <w:t>Conclusion</w:t>
      </w:r>
    </w:p>
    <w:p w:rsidR="00FE20A1" w:rsidRDefault="00405AEE">
      <w:r>
        <w:rPr>
          <w:rFonts w:hint="eastAsia"/>
        </w:rPr>
        <w:t>I</w:t>
      </w:r>
      <w:r>
        <w:t xml:space="preserve">n this contribution, we provide our analysis </w:t>
      </w:r>
      <w:r>
        <w:rPr>
          <w:rFonts w:hint="eastAsia"/>
        </w:rPr>
        <w:t xml:space="preserve">on </w:t>
      </w:r>
      <w:r>
        <w:t xml:space="preserve">the indication for </w:t>
      </w:r>
      <w:r>
        <w:rPr>
          <w:bCs/>
        </w:rPr>
        <w:t xml:space="preserve">dynamic switching between DFT-S-OFDM and CP-OFDM </w:t>
      </w:r>
      <w:r>
        <w:rPr>
          <w:rFonts w:hint="eastAsia"/>
          <w:bCs/>
        </w:rPr>
        <w:t>as well as</w:t>
      </w:r>
      <w:r>
        <w:rPr>
          <w:bCs/>
        </w:rPr>
        <w:t xml:space="preserve"> other </w:t>
      </w:r>
      <w:r>
        <w:rPr>
          <w:rFonts w:hint="eastAsia"/>
          <w:bCs/>
        </w:rPr>
        <w:t xml:space="preserve">related </w:t>
      </w:r>
      <w:r>
        <w:rPr>
          <w:bCs/>
        </w:rPr>
        <w:t>issues</w:t>
      </w:r>
      <w:r>
        <w:t xml:space="preserve"> with the following proposal.</w:t>
      </w:r>
      <w:r>
        <w:rPr>
          <w:rFonts w:hint="eastAsia"/>
        </w:rPr>
        <w:t xml:space="preserve"> </w:t>
      </w:r>
    </w:p>
    <w:p w:rsidR="00FE20A1" w:rsidRDefault="00405AEE">
      <w:pPr>
        <w:pStyle w:val="ListParagraph1"/>
        <w:snapToGrid w:val="0"/>
        <w:spacing w:afterLines="50"/>
        <w:ind w:left="0" w:firstLine="0"/>
        <w:jc w:val="center"/>
        <w:rPr>
          <w:rFonts w:eastAsia="宋体"/>
          <w:b/>
          <w:bCs/>
          <w:szCs w:val="20"/>
          <w:u w:val="single"/>
        </w:rPr>
      </w:pPr>
      <w:r>
        <w:rPr>
          <w:rFonts w:eastAsia="宋体"/>
          <w:b/>
          <w:bCs/>
          <w:szCs w:val="20"/>
          <w:u w:val="single"/>
        </w:rPr>
        <w:t>BWP switching</w:t>
      </w:r>
    </w:p>
    <w:p w:rsidR="00687F58" w:rsidRDefault="00687F58" w:rsidP="00687F58">
      <w:pPr>
        <w:rPr>
          <w:rFonts w:eastAsiaTheme="minorEastAsia"/>
          <w:i/>
        </w:rPr>
      </w:pPr>
      <w:r>
        <w:rPr>
          <w:rFonts w:hint="eastAsia"/>
          <w:b/>
          <w:i/>
        </w:rPr>
        <w:t>P</w:t>
      </w:r>
      <w:r>
        <w:rPr>
          <w:b/>
          <w:i/>
        </w:rPr>
        <w:t>roposal 1:</w:t>
      </w:r>
      <w:r>
        <w:rPr>
          <w:rFonts w:eastAsiaTheme="minorEastAsia"/>
          <w:i/>
        </w:rPr>
        <w:t xml:space="preserve"> If </w:t>
      </w:r>
      <w:r w:rsidRPr="00687F58">
        <w:rPr>
          <w:rFonts w:eastAsiaTheme="minorEastAsia"/>
          <w:i/>
        </w:rPr>
        <w:t>DWS feature is enabled for the indicated BWP but not the active BWP, and the resourceAllocation parameter in the indicated BWP is configured to dynamicSwitch, and bit width of the FDRA field of the active BWP is smaller than bit width of the FDRA field of the indicated BWP</w:t>
      </w:r>
      <w:r>
        <w:rPr>
          <w:rFonts w:eastAsiaTheme="minorEastAsia"/>
          <w:i/>
        </w:rPr>
        <w:t>,</w:t>
      </w:r>
      <w:r>
        <w:t xml:space="preserve"> </w:t>
      </w:r>
      <w:r>
        <w:rPr>
          <w:rFonts w:eastAsiaTheme="minorEastAsia"/>
          <w:i/>
        </w:rPr>
        <w:t xml:space="preserve">UE will ignore the </w:t>
      </w:r>
      <w:r w:rsidRPr="00687F58">
        <w:rPr>
          <w:rFonts w:eastAsiaTheme="minorEastAsia"/>
          <w:i/>
        </w:rPr>
        <w:t>transform precoder indicator field upon BWP switching</w:t>
      </w:r>
      <w:r>
        <w:rPr>
          <w:rFonts w:eastAsiaTheme="minorEastAsia"/>
          <w:i/>
        </w:rPr>
        <w:t>.</w:t>
      </w:r>
    </w:p>
    <w:p w:rsidR="00990C22" w:rsidRDefault="00990C22" w:rsidP="00990C22">
      <w:pPr>
        <w:jc w:val="center"/>
        <w:rPr>
          <w:rFonts w:eastAsiaTheme="minorEastAsia"/>
          <w:i/>
        </w:rPr>
      </w:pPr>
      <w:r>
        <w:rPr>
          <w:b/>
          <w:bCs/>
          <w:u w:val="single"/>
        </w:rPr>
        <w:t>PHR</w:t>
      </w:r>
    </w:p>
    <w:p w:rsidR="00990C22" w:rsidRDefault="00990C22" w:rsidP="00687F58">
      <w:pPr>
        <w:rPr>
          <w:b/>
          <w:bCs/>
        </w:rPr>
      </w:pPr>
      <w:r>
        <w:rPr>
          <w:rFonts w:hint="eastAsia"/>
          <w:b/>
          <w:i/>
        </w:rPr>
        <w:t>P</w:t>
      </w:r>
      <w:r>
        <w:rPr>
          <w:b/>
          <w:i/>
        </w:rPr>
        <w:t>roposal 2:</w:t>
      </w:r>
      <w:r>
        <w:rPr>
          <w:rFonts w:eastAsiaTheme="minorEastAsia"/>
          <w:i/>
        </w:rPr>
        <w:t xml:space="preserve"> </w:t>
      </w:r>
      <w:r w:rsidR="0078066D">
        <w:rPr>
          <w:rFonts w:eastAsiaTheme="minorEastAsia"/>
          <w:i/>
        </w:rPr>
        <w:t>R</w:t>
      </w:r>
      <w:r w:rsidR="0078066D" w:rsidRPr="00990C22">
        <w:rPr>
          <w:rFonts w:eastAsiaTheme="minorEastAsia"/>
          <w:i/>
        </w:rPr>
        <w:t xml:space="preserve">eply the LS </w:t>
      </w:r>
      <w:r w:rsidR="0078066D">
        <w:rPr>
          <w:rFonts w:eastAsiaTheme="minorEastAsia"/>
          <w:i/>
        </w:rPr>
        <w:t>from RAN2 to</w:t>
      </w:r>
      <w:r w:rsidR="0078066D" w:rsidRPr="00990C22">
        <w:rPr>
          <w:rFonts w:eastAsiaTheme="minorEastAsia"/>
          <w:i/>
        </w:rPr>
        <w:t xml:space="preserve"> confirm that </w:t>
      </w:r>
      <w:r w:rsidR="0078066D" w:rsidRPr="0078066D">
        <w:rPr>
          <w:rFonts w:eastAsiaTheme="minorEastAsia"/>
          <w:i/>
        </w:rPr>
        <w:t xml:space="preserve">PHR report enhancement for </w:t>
      </w:r>
      <w:r w:rsidR="0078066D" w:rsidRPr="00990C22">
        <w:rPr>
          <w:rFonts w:eastAsiaTheme="minorEastAsia"/>
          <w:i/>
        </w:rPr>
        <w:t xml:space="preserve">dynamic waveform switching is supported to UL CA/DC and </w:t>
      </w:r>
      <w:r w:rsidR="0078066D">
        <w:rPr>
          <w:rFonts w:eastAsiaTheme="minorEastAsia"/>
          <w:i/>
        </w:rPr>
        <w:t>there is</w:t>
      </w:r>
      <w:r w:rsidR="0078066D" w:rsidRPr="00990C22">
        <w:rPr>
          <w:rFonts w:eastAsiaTheme="minorEastAsia"/>
          <w:i/>
        </w:rPr>
        <w:t xml:space="preserve"> no </w:t>
      </w:r>
      <w:r w:rsidR="0078066D">
        <w:rPr>
          <w:rFonts w:eastAsiaTheme="minorEastAsia"/>
          <w:i/>
        </w:rPr>
        <w:t xml:space="preserve">additional </w:t>
      </w:r>
      <w:r w:rsidR="0078066D" w:rsidRPr="00990C22">
        <w:rPr>
          <w:rFonts w:eastAsiaTheme="minorEastAsia"/>
          <w:i/>
        </w:rPr>
        <w:t>RAN1 specification impact</w:t>
      </w:r>
      <w:r>
        <w:rPr>
          <w:rFonts w:eastAsiaTheme="minorEastAsia"/>
          <w:i/>
        </w:rPr>
        <w:t>.</w:t>
      </w:r>
    </w:p>
    <w:p w:rsidR="00FE20A1" w:rsidRDefault="00405AEE">
      <w:pPr>
        <w:pStyle w:val="1"/>
      </w:pPr>
      <w:r>
        <w:t>References</w:t>
      </w:r>
    </w:p>
    <w:p w:rsidR="00FE20A1" w:rsidRDefault="00405AEE">
      <w:pPr>
        <w:pStyle w:val="References"/>
        <w:numPr>
          <w:ilvl w:val="0"/>
          <w:numId w:val="13"/>
        </w:numPr>
        <w:autoSpaceDE w:val="0"/>
        <w:autoSpaceDN w:val="0"/>
        <w:rPr>
          <w:szCs w:val="22"/>
        </w:rPr>
      </w:pPr>
      <w:r>
        <w:rPr>
          <w:szCs w:val="22"/>
        </w:rPr>
        <w:t>Chair's notes RAN1</w:t>
      </w:r>
      <w:r w:rsidR="00A61C0A">
        <w:rPr>
          <w:szCs w:val="22"/>
        </w:rPr>
        <w:t>#</w:t>
      </w:r>
      <w:r>
        <w:rPr>
          <w:szCs w:val="22"/>
        </w:rPr>
        <w:t>114</w:t>
      </w:r>
      <w:r w:rsidR="00A61C0A">
        <w:rPr>
          <w:szCs w:val="22"/>
        </w:rPr>
        <w:t>bis eom</w:t>
      </w:r>
      <w:r>
        <w:rPr>
          <w:rFonts w:hint="eastAsia"/>
          <w:color w:val="000000"/>
          <w:sz w:val="21"/>
        </w:rPr>
        <w:t>.</w:t>
      </w:r>
    </w:p>
    <w:p w:rsidR="00FE20A1" w:rsidRDefault="001639E3">
      <w:pPr>
        <w:pStyle w:val="References"/>
        <w:numPr>
          <w:ilvl w:val="0"/>
          <w:numId w:val="13"/>
        </w:numPr>
        <w:autoSpaceDE w:val="0"/>
        <w:autoSpaceDN w:val="0"/>
        <w:rPr>
          <w:szCs w:val="22"/>
        </w:rPr>
      </w:pPr>
      <w:r w:rsidRPr="001E54E5">
        <w:t>R1-2309926</w:t>
      </w:r>
      <w:r>
        <w:t xml:space="preserve"> </w:t>
      </w:r>
      <w:r w:rsidRPr="001E54E5">
        <w:t>Remaining issues on dynamic switching between DFT-s-OFDM and CP-OFDM</w:t>
      </w:r>
      <w:r>
        <w:t xml:space="preserve">, </w:t>
      </w:r>
      <w:r w:rsidRPr="001E54E5">
        <w:t>Nokia, Nokia Shanghai Bell</w:t>
      </w:r>
      <w:r w:rsidR="00405AEE">
        <w:rPr>
          <w:rFonts w:hint="eastAsia"/>
          <w:szCs w:val="22"/>
        </w:rPr>
        <w:t>.</w:t>
      </w:r>
    </w:p>
    <w:p w:rsidR="005175AE" w:rsidRPr="005175AE" w:rsidRDefault="00F8304F" w:rsidP="00F8304F">
      <w:pPr>
        <w:pStyle w:val="References"/>
        <w:numPr>
          <w:ilvl w:val="0"/>
          <w:numId w:val="13"/>
        </w:numPr>
        <w:autoSpaceDE w:val="0"/>
        <w:autoSpaceDN w:val="0"/>
      </w:pPr>
      <w:r w:rsidRPr="00F8304F">
        <w:t>R1-2311005</w:t>
      </w:r>
      <w:r>
        <w:t xml:space="preserve"> (</w:t>
      </w:r>
      <w:r w:rsidR="005175AE" w:rsidRPr="005175AE">
        <w:t>R2-231161</w:t>
      </w:r>
      <w:r w:rsidR="00063B0E">
        <w:t>6</w:t>
      </w:r>
      <w:r>
        <w:t>)</w:t>
      </w:r>
      <w:r w:rsidR="005175AE" w:rsidRPr="005175AE">
        <w:t xml:space="preserve"> LS to RAN1 on PHR reporting</w:t>
      </w:r>
      <w:r w:rsidR="005175AE">
        <w:t>, RAN2</w:t>
      </w:r>
    </w:p>
    <w:p w:rsidR="00FE20A1" w:rsidRDefault="00FE20A1">
      <w:pPr>
        <w:pStyle w:val="ae"/>
        <w:ind w:left="0"/>
      </w:pPr>
    </w:p>
    <w:sectPr w:rsidR="00FE20A1">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7046" w:rsidRDefault="00197046">
      <w:pPr>
        <w:spacing w:after="0"/>
      </w:pPr>
      <w:r>
        <w:separator/>
      </w:r>
    </w:p>
  </w:endnote>
  <w:endnote w:type="continuationSeparator" w:id="0">
    <w:p w:rsidR="00197046" w:rsidRDefault="001970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7046" w:rsidRDefault="00197046">
      <w:pPr>
        <w:spacing w:after="0"/>
      </w:pPr>
      <w:r>
        <w:separator/>
      </w:r>
    </w:p>
  </w:footnote>
  <w:footnote w:type="continuationSeparator" w:id="0">
    <w:p w:rsidR="00197046" w:rsidRDefault="0019704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8D66CB"/>
    <w:multiLevelType w:val="multilevel"/>
    <w:tmpl w:val="158D66CB"/>
    <w:lvl w:ilvl="0">
      <w:start w:val="1"/>
      <w:numFmt w:val="bullet"/>
      <w:lvlText w:val=""/>
      <w:lvlJc w:val="left"/>
      <w:pPr>
        <w:ind w:left="800" w:hanging="440"/>
      </w:pPr>
      <w:rPr>
        <w:rFonts w:ascii="Symbol" w:hAnsi="Symbol"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80" w:hanging="440"/>
      </w:pPr>
      <w:rPr>
        <w:rFonts w:ascii="Wingdings" w:hAnsi="Wingdings" w:hint="default"/>
      </w:rPr>
    </w:lvl>
    <w:lvl w:ilvl="3">
      <w:start w:val="1"/>
      <w:numFmt w:val="bullet"/>
      <w:lvlText w:val=""/>
      <w:lvlJc w:val="left"/>
      <w:pPr>
        <w:ind w:left="2120" w:hanging="440"/>
      </w:pPr>
      <w:rPr>
        <w:rFonts w:ascii="Wingdings" w:hAnsi="Wingdings" w:hint="default"/>
      </w:rPr>
    </w:lvl>
    <w:lvl w:ilvl="4">
      <w:start w:val="1"/>
      <w:numFmt w:val="bullet"/>
      <w:lvlText w:val=""/>
      <w:lvlJc w:val="left"/>
      <w:pPr>
        <w:ind w:left="2560" w:hanging="440"/>
      </w:pPr>
      <w:rPr>
        <w:rFonts w:ascii="Wingdings" w:hAnsi="Wingdings" w:hint="default"/>
      </w:rPr>
    </w:lvl>
    <w:lvl w:ilvl="5">
      <w:start w:val="1"/>
      <w:numFmt w:val="bullet"/>
      <w:lvlText w:val=""/>
      <w:lvlJc w:val="left"/>
      <w:pPr>
        <w:ind w:left="3000" w:hanging="440"/>
      </w:pPr>
      <w:rPr>
        <w:rFonts w:ascii="Wingdings" w:hAnsi="Wingdings" w:hint="default"/>
      </w:rPr>
    </w:lvl>
    <w:lvl w:ilvl="6">
      <w:start w:val="1"/>
      <w:numFmt w:val="bullet"/>
      <w:lvlText w:val=""/>
      <w:lvlJc w:val="left"/>
      <w:pPr>
        <w:ind w:left="3440" w:hanging="440"/>
      </w:pPr>
      <w:rPr>
        <w:rFonts w:ascii="Wingdings" w:hAnsi="Wingdings" w:hint="default"/>
      </w:rPr>
    </w:lvl>
    <w:lvl w:ilvl="7">
      <w:start w:val="1"/>
      <w:numFmt w:val="bullet"/>
      <w:lvlText w:val=""/>
      <w:lvlJc w:val="left"/>
      <w:pPr>
        <w:ind w:left="3880" w:hanging="440"/>
      </w:pPr>
      <w:rPr>
        <w:rFonts w:ascii="Wingdings" w:hAnsi="Wingdings" w:hint="default"/>
      </w:rPr>
    </w:lvl>
    <w:lvl w:ilvl="8">
      <w:start w:val="1"/>
      <w:numFmt w:val="bullet"/>
      <w:lvlText w:val=""/>
      <w:lvlJc w:val="left"/>
      <w:pPr>
        <w:ind w:left="4320" w:hanging="440"/>
      </w:pPr>
      <w:rPr>
        <w:rFonts w:ascii="Wingdings" w:hAnsi="Wingdings" w:hint="default"/>
      </w:rPr>
    </w:lvl>
  </w:abstractNum>
  <w:abstractNum w:abstractNumId="1"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3" w15:restartNumberingAfterBreak="0">
    <w:nsid w:val="37C07816"/>
    <w:multiLevelType w:val="multilevel"/>
    <w:tmpl w:val="37C07816"/>
    <w:lvl w:ilvl="0">
      <w:start w:val="1"/>
      <w:numFmt w:val="bullet"/>
      <w:lvlText w:val="-"/>
      <w:lvlJc w:val="left"/>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A877D64"/>
    <w:multiLevelType w:val="singleLevel"/>
    <w:tmpl w:val="3A877D64"/>
    <w:lvl w:ilvl="0">
      <w:start w:val="1"/>
      <w:numFmt w:val="decimal"/>
      <w:lvlText w:val="[%1]"/>
      <w:lvlJc w:val="left"/>
      <w:pPr>
        <w:tabs>
          <w:tab w:val="left" w:pos="360"/>
        </w:tabs>
        <w:ind w:left="360" w:hanging="360"/>
      </w:pPr>
    </w:lvl>
  </w:abstractNum>
  <w:abstractNum w:abstractNumId="5"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6"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8" w15:restartNumberingAfterBreak="0">
    <w:nsid w:val="5BFF1211"/>
    <w:multiLevelType w:val="multilevel"/>
    <w:tmpl w:val="5BFF1211"/>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0" w15:restartNumberingAfterBreak="0">
    <w:nsid w:val="67777E82"/>
    <w:multiLevelType w:val="hybridMultilevel"/>
    <w:tmpl w:val="F15611F0"/>
    <w:lvl w:ilvl="0" w:tplc="FFFFFFFF">
      <w:start w:val="1"/>
      <w:numFmt w:val="bullet"/>
      <w:lvlText w:val="•"/>
      <w:lvlJc w:val="left"/>
      <w:pPr>
        <w:ind w:left="440" w:hanging="440"/>
      </w:pPr>
      <w:rPr>
        <w:rFonts w:ascii="Arial" w:hAnsi="Arial" w:hint="default"/>
      </w:rPr>
    </w:lvl>
    <w:lvl w:ilvl="1" w:tplc="FFFFFFFF">
      <w:start w:val="1"/>
      <w:numFmt w:val="bullet"/>
      <w:lvlText w:val=""/>
      <w:lvlJc w:val="left"/>
      <w:pPr>
        <w:ind w:left="880" w:hanging="440"/>
      </w:pPr>
      <w:rPr>
        <w:rFonts w:ascii="Wingdings" w:hAnsi="Wingdings" w:hint="default"/>
      </w:rPr>
    </w:lvl>
    <w:lvl w:ilvl="2" w:tplc="04090001">
      <w:start w:val="1"/>
      <w:numFmt w:val="bullet"/>
      <w:lvlText w:val=""/>
      <w:lvlJc w:val="left"/>
      <w:pPr>
        <w:ind w:left="800" w:hanging="440"/>
      </w:pPr>
      <w:rPr>
        <w:rFonts w:ascii="Symbol" w:hAnsi="Symbol"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 w15:restartNumberingAfterBreak="0">
    <w:nsid w:val="74AD6D80"/>
    <w:multiLevelType w:val="multilevel"/>
    <w:tmpl w:val="74AD6D80"/>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787C798E"/>
    <w:multiLevelType w:val="multilevel"/>
    <w:tmpl w:val="787C79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7BD31E87"/>
    <w:multiLevelType w:val="multilevel"/>
    <w:tmpl w:val="7BD31E87"/>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5"/>
  </w:num>
  <w:num w:numId="2">
    <w:abstractNumId w:val="9"/>
  </w:num>
  <w:num w:numId="3">
    <w:abstractNumId w:val="6"/>
  </w:num>
  <w:num w:numId="4">
    <w:abstractNumId w:val="7"/>
  </w:num>
  <w:num w:numId="5">
    <w:abstractNumId w:val="2"/>
  </w:num>
  <w:num w:numId="6">
    <w:abstractNumId w:val="1"/>
  </w:num>
  <w:num w:numId="7">
    <w:abstractNumId w:val="11"/>
  </w:num>
  <w:num w:numId="8">
    <w:abstractNumId w:val="13"/>
  </w:num>
  <w:num w:numId="9">
    <w:abstractNumId w:val="3"/>
  </w:num>
  <w:num w:numId="10">
    <w:abstractNumId w:val="12"/>
  </w:num>
  <w:num w:numId="11">
    <w:abstractNumId w:val="0"/>
  </w:num>
  <w:num w:numId="12">
    <w:abstractNumId w:val="8"/>
  </w:num>
  <w:num w:numId="13">
    <w:abstractNumId w:val="4"/>
  </w:num>
  <w:num w:numId="14">
    <w:abstractNumId w:val="10"/>
  </w:num>
  <w:num w:numId="15">
    <w:abstractNumId w:val="5"/>
  </w:num>
  <w:num w:numId="16">
    <w:abstractNumId w:val="5"/>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1305B"/>
    <w:rsid w:val="000150DD"/>
    <w:rsid w:val="00017FEB"/>
    <w:rsid w:val="00026559"/>
    <w:rsid w:val="00033863"/>
    <w:rsid w:val="000343AE"/>
    <w:rsid w:val="00046A52"/>
    <w:rsid w:val="00050E63"/>
    <w:rsid w:val="00063B0E"/>
    <w:rsid w:val="00073CBC"/>
    <w:rsid w:val="000745E7"/>
    <w:rsid w:val="00075B17"/>
    <w:rsid w:val="00095914"/>
    <w:rsid w:val="000A3602"/>
    <w:rsid w:val="000A36CC"/>
    <w:rsid w:val="000A548C"/>
    <w:rsid w:val="000A5F9B"/>
    <w:rsid w:val="000B36C2"/>
    <w:rsid w:val="000C29CB"/>
    <w:rsid w:val="000C4BB7"/>
    <w:rsid w:val="000C4D6D"/>
    <w:rsid w:val="000C6115"/>
    <w:rsid w:val="000D22D1"/>
    <w:rsid w:val="000D64A2"/>
    <w:rsid w:val="000D7109"/>
    <w:rsid w:val="000E4662"/>
    <w:rsid w:val="000F77F7"/>
    <w:rsid w:val="00116DBD"/>
    <w:rsid w:val="00120139"/>
    <w:rsid w:val="00125690"/>
    <w:rsid w:val="0012614C"/>
    <w:rsid w:val="00130F91"/>
    <w:rsid w:val="00142509"/>
    <w:rsid w:val="00162D5A"/>
    <w:rsid w:val="00162D88"/>
    <w:rsid w:val="001639E3"/>
    <w:rsid w:val="00175CF6"/>
    <w:rsid w:val="00197046"/>
    <w:rsid w:val="00197186"/>
    <w:rsid w:val="001A4CFB"/>
    <w:rsid w:val="001A566D"/>
    <w:rsid w:val="001B2C6F"/>
    <w:rsid w:val="001B6A64"/>
    <w:rsid w:val="001D3C86"/>
    <w:rsid w:val="001E0596"/>
    <w:rsid w:val="001E2886"/>
    <w:rsid w:val="00203AFE"/>
    <w:rsid w:val="00217203"/>
    <w:rsid w:val="00221F30"/>
    <w:rsid w:val="00226E0A"/>
    <w:rsid w:val="0025032E"/>
    <w:rsid w:val="00256B8B"/>
    <w:rsid w:val="00283545"/>
    <w:rsid w:val="002851B3"/>
    <w:rsid w:val="002904DA"/>
    <w:rsid w:val="002B050B"/>
    <w:rsid w:val="002B21B5"/>
    <w:rsid w:val="002B30FE"/>
    <w:rsid w:val="002C41CE"/>
    <w:rsid w:val="002C6C4C"/>
    <w:rsid w:val="002D0B7E"/>
    <w:rsid w:val="002D1667"/>
    <w:rsid w:val="002F08D0"/>
    <w:rsid w:val="00302208"/>
    <w:rsid w:val="00302BEE"/>
    <w:rsid w:val="0030482C"/>
    <w:rsid w:val="00305B27"/>
    <w:rsid w:val="00321CDC"/>
    <w:rsid w:val="00324023"/>
    <w:rsid w:val="003264B7"/>
    <w:rsid w:val="0034038D"/>
    <w:rsid w:val="0034301E"/>
    <w:rsid w:val="00355E88"/>
    <w:rsid w:val="00366BDB"/>
    <w:rsid w:val="00371698"/>
    <w:rsid w:val="00391338"/>
    <w:rsid w:val="003A0525"/>
    <w:rsid w:val="003A4F2B"/>
    <w:rsid w:val="003A7AE5"/>
    <w:rsid w:val="003B1A60"/>
    <w:rsid w:val="003C04E4"/>
    <w:rsid w:val="003C2265"/>
    <w:rsid w:val="003C290E"/>
    <w:rsid w:val="003D3B04"/>
    <w:rsid w:val="003D4E84"/>
    <w:rsid w:val="003F0227"/>
    <w:rsid w:val="003F48BD"/>
    <w:rsid w:val="003F552B"/>
    <w:rsid w:val="003F751F"/>
    <w:rsid w:val="004036D9"/>
    <w:rsid w:val="00405AEE"/>
    <w:rsid w:val="00451681"/>
    <w:rsid w:val="004607C3"/>
    <w:rsid w:val="00464E47"/>
    <w:rsid w:val="00470C11"/>
    <w:rsid w:val="00475D03"/>
    <w:rsid w:val="00487603"/>
    <w:rsid w:val="004918BC"/>
    <w:rsid w:val="004975DB"/>
    <w:rsid w:val="004A0AAA"/>
    <w:rsid w:val="004A415A"/>
    <w:rsid w:val="004A57AE"/>
    <w:rsid w:val="004A7E15"/>
    <w:rsid w:val="004B0D86"/>
    <w:rsid w:val="004B7264"/>
    <w:rsid w:val="004C3D24"/>
    <w:rsid w:val="004D3441"/>
    <w:rsid w:val="004E449B"/>
    <w:rsid w:val="004F11A7"/>
    <w:rsid w:val="004F3810"/>
    <w:rsid w:val="0050416C"/>
    <w:rsid w:val="0051368A"/>
    <w:rsid w:val="0051517D"/>
    <w:rsid w:val="005175AE"/>
    <w:rsid w:val="00534543"/>
    <w:rsid w:val="00536ED4"/>
    <w:rsid w:val="00546597"/>
    <w:rsid w:val="0055537B"/>
    <w:rsid w:val="005562B1"/>
    <w:rsid w:val="00556331"/>
    <w:rsid w:val="00557E53"/>
    <w:rsid w:val="00563CF3"/>
    <w:rsid w:val="00564DBA"/>
    <w:rsid w:val="00570E4D"/>
    <w:rsid w:val="00587603"/>
    <w:rsid w:val="005926FA"/>
    <w:rsid w:val="00597845"/>
    <w:rsid w:val="005A4DBA"/>
    <w:rsid w:val="005A5996"/>
    <w:rsid w:val="005B540D"/>
    <w:rsid w:val="005D20F1"/>
    <w:rsid w:val="005D6252"/>
    <w:rsid w:val="005E214D"/>
    <w:rsid w:val="005E324E"/>
    <w:rsid w:val="005F75AA"/>
    <w:rsid w:val="006017DD"/>
    <w:rsid w:val="00602FC6"/>
    <w:rsid w:val="006035C5"/>
    <w:rsid w:val="006041B9"/>
    <w:rsid w:val="00612D64"/>
    <w:rsid w:val="00617A1F"/>
    <w:rsid w:val="00623243"/>
    <w:rsid w:val="00625530"/>
    <w:rsid w:val="00642F5D"/>
    <w:rsid w:val="0065039A"/>
    <w:rsid w:val="00651141"/>
    <w:rsid w:val="006511E2"/>
    <w:rsid w:val="00651E5D"/>
    <w:rsid w:val="00670B87"/>
    <w:rsid w:val="006829FF"/>
    <w:rsid w:val="00687F58"/>
    <w:rsid w:val="00690330"/>
    <w:rsid w:val="006A133C"/>
    <w:rsid w:val="006A2851"/>
    <w:rsid w:val="006D2F80"/>
    <w:rsid w:val="006D64AA"/>
    <w:rsid w:val="006E6BF9"/>
    <w:rsid w:val="006E74B6"/>
    <w:rsid w:val="006F5CA1"/>
    <w:rsid w:val="0071616A"/>
    <w:rsid w:val="00733725"/>
    <w:rsid w:val="00737633"/>
    <w:rsid w:val="007430A5"/>
    <w:rsid w:val="00746933"/>
    <w:rsid w:val="0075454E"/>
    <w:rsid w:val="00756F85"/>
    <w:rsid w:val="007640FE"/>
    <w:rsid w:val="007641C8"/>
    <w:rsid w:val="00764890"/>
    <w:rsid w:val="007709DE"/>
    <w:rsid w:val="0078066D"/>
    <w:rsid w:val="007813B8"/>
    <w:rsid w:val="007837E3"/>
    <w:rsid w:val="00793671"/>
    <w:rsid w:val="007967DD"/>
    <w:rsid w:val="007A2705"/>
    <w:rsid w:val="007A635C"/>
    <w:rsid w:val="007A6B2A"/>
    <w:rsid w:val="007B0495"/>
    <w:rsid w:val="007B5E2E"/>
    <w:rsid w:val="00802D62"/>
    <w:rsid w:val="0080485F"/>
    <w:rsid w:val="00806409"/>
    <w:rsid w:val="00806981"/>
    <w:rsid w:val="00834184"/>
    <w:rsid w:val="0084298E"/>
    <w:rsid w:val="00845C51"/>
    <w:rsid w:val="00891181"/>
    <w:rsid w:val="008A716E"/>
    <w:rsid w:val="008C201B"/>
    <w:rsid w:val="008C4A21"/>
    <w:rsid w:val="008D0485"/>
    <w:rsid w:val="008E092A"/>
    <w:rsid w:val="008F3256"/>
    <w:rsid w:val="008F5E4C"/>
    <w:rsid w:val="00907BA2"/>
    <w:rsid w:val="00910C20"/>
    <w:rsid w:val="00912B31"/>
    <w:rsid w:val="00912D46"/>
    <w:rsid w:val="00933081"/>
    <w:rsid w:val="009405EF"/>
    <w:rsid w:val="00942DDB"/>
    <w:rsid w:val="009446DB"/>
    <w:rsid w:val="00945048"/>
    <w:rsid w:val="00956C3A"/>
    <w:rsid w:val="0097483F"/>
    <w:rsid w:val="00977EA6"/>
    <w:rsid w:val="00990C22"/>
    <w:rsid w:val="00994A55"/>
    <w:rsid w:val="009951A9"/>
    <w:rsid w:val="009A0593"/>
    <w:rsid w:val="009A1E8B"/>
    <w:rsid w:val="009A6235"/>
    <w:rsid w:val="009B4B3A"/>
    <w:rsid w:val="009C1CB1"/>
    <w:rsid w:val="009D0515"/>
    <w:rsid w:val="009D062C"/>
    <w:rsid w:val="009E613F"/>
    <w:rsid w:val="00A04A44"/>
    <w:rsid w:val="00A0555A"/>
    <w:rsid w:val="00A06F37"/>
    <w:rsid w:val="00A136F9"/>
    <w:rsid w:val="00A210BC"/>
    <w:rsid w:val="00A21B82"/>
    <w:rsid w:val="00A23AC4"/>
    <w:rsid w:val="00A2589D"/>
    <w:rsid w:val="00A3569C"/>
    <w:rsid w:val="00A361F7"/>
    <w:rsid w:val="00A43049"/>
    <w:rsid w:val="00A45DE3"/>
    <w:rsid w:val="00A52EDB"/>
    <w:rsid w:val="00A54D54"/>
    <w:rsid w:val="00A6064A"/>
    <w:rsid w:val="00A6163C"/>
    <w:rsid w:val="00A61C0A"/>
    <w:rsid w:val="00A62C6E"/>
    <w:rsid w:val="00A659F1"/>
    <w:rsid w:val="00A7238B"/>
    <w:rsid w:val="00A72ADF"/>
    <w:rsid w:val="00A737C8"/>
    <w:rsid w:val="00A7446C"/>
    <w:rsid w:val="00A9321D"/>
    <w:rsid w:val="00AA4D65"/>
    <w:rsid w:val="00AB79DB"/>
    <w:rsid w:val="00AC17EC"/>
    <w:rsid w:val="00AC3166"/>
    <w:rsid w:val="00AE6621"/>
    <w:rsid w:val="00AF17F0"/>
    <w:rsid w:val="00AF4292"/>
    <w:rsid w:val="00AF6639"/>
    <w:rsid w:val="00AF6ED7"/>
    <w:rsid w:val="00B07002"/>
    <w:rsid w:val="00B15576"/>
    <w:rsid w:val="00B17855"/>
    <w:rsid w:val="00B23630"/>
    <w:rsid w:val="00B31CF4"/>
    <w:rsid w:val="00B35DAB"/>
    <w:rsid w:val="00B70246"/>
    <w:rsid w:val="00B71D5F"/>
    <w:rsid w:val="00B906FE"/>
    <w:rsid w:val="00B95A25"/>
    <w:rsid w:val="00BA6B88"/>
    <w:rsid w:val="00BB37B7"/>
    <w:rsid w:val="00BB3FB1"/>
    <w:rsid w:val="00BC2F20"/>
    <w:rsid w:val="00BC46DD"/>
    <w:rsid w:val="00BD2263"/>
    <w:rsid w:val="00BD41F9"/>
    <w:rsid w:val="00BD4228"/>
    <w:rsid w:val="00BF5E78"/>
    <w:rsid w:val="00C04DA9"/>
    <w:rsid w:val="00C10CD3"/>
    <w:rsid w:val="00C17EE6"/>
    <w:rsid w:val="00C32781"/>
    <w:rsid w:val="00C33647"/>
    <w:rsid w:val="00C3731D"/>
    <w:rsid w:val="00C42E28"/>
    <w:rsid w:val="00C53F2B"/>
    <w:rsid w:val="00C6654B"/>
    <w:rsid w:val="00C868A1"/>
    <w:rsid w:val="00C91E19"/>
    <w:rsid w:val="00C972BA"/>
    <w:rsid w:val="00CA34E8"/>
    <w:rsid w:val="00CA38DC"/>
    <w:rsid w:val="00CC5A7A"/>
    <w:rsid w:val="00CD4811"/>
    <w:rsid w:val="00CE2D98"/>
    <w:rsid w:val="00CF03B6"/>
    <w:rsid w:val="00CF3086"/>
    <w:rsid w:val="00D078C9"/>
    <w:rsid w:val="00D11338"/>
    <w:rsid w:val="00D17635"/>
    <w:rsid w:val="00D33A64"/>
    <w:rsid w:val="00D41E07"/>
    <w:rsid w:val="00D5513D"/>
    <w:rsid w:val="00D625BC"/>
    <w:rsid w:val="00D62762"/>
    <w:rsid w:val="00D72C3B"/>
    <w:rsid w:val="00D9100E"/>
    <w:rsid w:val="00D91D09"/>
    <w:rsid w:val="00DC5854"/>
    <w:rsid w:val="00DC5D68"/>
    <w:rsid w:val="00DC7172"/>
    <w:rsid w:val="00DE13E4"/>
    <w:rsid w:val="00DF55F7"/>
    <w:rsid w:val="00DF56CA"/>
    <w:rsid w:val="00DF5800"/>
    <w:rsid w:val="00E133C3"/>
    <w:rsid w:val="00E14CC2"/>
    <w:rsid w:val="00E22066"/>
    <w:rsid w:val="00E357B2"/>
    <w:rsid w:val="00E42731"/>
    <w:rsid w:val="00E42FE7"/>
    <w:rsid w:val="00E44A17"/>
    <w:rsid w:val="00E47D41"/>
    <w:rsid w:val="00E520BB"/>
    <w:rsid w:val="00E73109"/>
    <w:rsid w:val="00E80D3D"/>
    <w:rsid w:val="00E82A78"/>
    <w:rsid w:val="00E927CC"/>
    <w:rsid w:val="00E935CC"/>
    <w:rsid w:val="00EA0BC6"/>
    <w:rsid w:val="00EA0F6D"/>
    <w:rsid w:val="00EA27A7"/>
    <w:rsid w:val="00ED1BF6"/>
    <w:rsid w:val="00ED4EB0"/>
    <w:rsid w:val="00ED5664"/>
    <w:rsid w:val="00ED5FFF"/>
    <w:rsid w:val="00ED61F5"/>
    <w:rsid w:val="00F04313"/>
    <w:rsid w:val="00F06563"/>
    <w:rsid w:val="00F143FF"/>
    <w:rsid w:val="00F17F2A"/>
    <w:rsid w:val="00F20615"/>
    <w:rsid w:val="00F2238C"/>
    <w:rsid w:val="00F249EE"/>
    <w:rsid w:val="00F257D8"/>
    <w:rsid w:val="00F3139D"/>
    <w:rsid w:val="00F36F23"/>
    <w:rsid w:val="00F45EED"/>
    <w:rsid w:val="00F4796B"/>
    <w:rsid w:val="00F521D3"/>
    <w:rsid w:val="00F56022"/>
    <w:rsid w:val="00F6288A"/>
    <w:rsid w:val="00F62AF3"/>
    <w:rsid w:val="00F648B6"/>
    <w:rsid w:val="00F735B4"/>
    <w:rsid w:val="00F8304F"/>
    <w:rsid w:val="00FB44CD"/>
    <w:rsid w:val="00FC1729"/>
    <w:rsid w:val="00FD341B"/>
    <w:rsid w:val="00FD616C"/>
    <w:rsid w:val="00FD6B32"/>
    <w:rsid w:val="00FE20A1"/>
    <w:rsid w:val="00FE4DD3"/>
    <w:rsid w:val="00FE53C4"/>
    <w:rsid w:val="00FF5048"/>
    <w:rsid w:val="076940E2"/>
    <w:rsid w:val="0AA54A86"/>
    <w:rsid w:val="0EF62D37"/>
    <w:rsid w:val="10013E0C"/>
    <w:rsid w:val="1A2138AF"/>
    <w:rsid w:val="1B7752EF"/>
    <w:rsid w:val="29F031DF"/>
    <w:rsid w:val="39164DC4"/>
    <w:rsid w:val="3BEB27CF"/>
    <w:rsid w:val="40E1762B"/>
    <w:rsid w:val="477C697C"/>
    <w:rsid w:val="510304FD"/>
    <w:rsid w:val="531F0D69"/>
    <w:rsid w:val="53A0651E"/>
    <w:rsid w:val="54A64738"/>
    <w:rsid w:val="55A9471A"/>
    <w:rsid w:val="717F1408"/>
    <w:rsid w:val="779C50F7"/>
    <w:rsid w:val="7F5D36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EA2E531-BC94-4315-A30F-77737A0CA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napToGrid w:val="0"/>
      <w:spacing w:after="120"/>
      <w:jc w:val="both"/>
    </w:pPr>
  </w:style>
  <w:style w:type="paragraph" w:styleId="1">
    <w:name w:val="heading 1"/>
    <w:basedOn w:val="a"/>
    <w:next w:val="a"/>
    <w:uiPriority w:val="9"/>
    <w:qFormat/>
    <w:pPr>
      <w:keepNext/>
      <w:numPr>
        <w:numId w:val="1"/>
      </w:numPr>
      <w:pBdr>
        <w:top w:val="single" w:sz="12" w:space="1" w:color="auto"/>
      </w:pBdr>
      <w:spacing w:before="120"/>
      <w:outlineLvl w:val="0"/>
    </w:pPr>
    <w:rPr>
      <w:rFonts w:ascii="Arial" w:hAnsi="Arial"/>
      <w:sz w:val="28"/>
    </w:rPr>
  </w:style>
  <w:style w:type="paragraph" w:styleId="2">
    <w:name w:val="heading 2"/>
    <w:basedOn w:val="a"/>
    <w:next w:val="a"/>
    <w:uiPriority w:val="9"/>
    <w:qFormat/>
    <w:pPr>
      <w:keepNext/>
      <w:numPr>
        <w:ilvl w:val="1"/>
        <w:numId w:val="1"/>
      </w:numPr>
      <w:spacing w:before="120"/>
      <w:outlineLvl w:val="1"/>
    </w:pPr>
    <w:rPr>
      <w:rFonts w:ascii="Arial" w:hAnsi="Arial"/>
      <w:sz w:val="24"/>
    </w:rPr>
  </w:style>
  <w:style w:type="paragraph" w:styleId="3">
    <w:name w:val="heading 3"/>
    <w:basedOn w:val="a"/>
    <w:next w:val="a"/>
    <w:qFormat/>
    <w:pPr>
      <w:keepNext/>
      <w:numPr>
        <w:ilvl w:val="2"/>
        <w:numId w:val="1"/>
      </w:numPr>
      <w:spacing w:before="120"/>
      <w:outlineLvl w:val="2"/>
    </w:pPr>
    <w:rPr>
      <w:rFonts w:ascii="Arial" w:hAnsi="Arial"/>
    </w:rPr>
  </w:style>
  <w:style w:type="paragraph" w:styleId="4">
    <w:name w:val="heading 4"/>
    <w:basedOn w:val="a"/>
    <w:next w:val="a"/>
    <w:uiPriority w:val="9"/>
    <w:qFormat/>
    <w:pPr>
      <w:keepNext/>
      <w:numPr>
        <w:ilvl w:val="3"/>
        <w:numId w:val="1"/>
      </w:numPr>
      <w:spacing w:before="120"/>
      <w:outlineLvl w:val="3"/>
    </w:pPr>
    <w:rPr>
      <w:rFonts w:ascii="Arial" w:hAnsi="Arial"/>
    </w:rPr>
  </w:style>
  <w:style w:type="paragraph" w:styleId="5">
    <w:name w:val="heading 5"/>
    <w:basedOn w:val="a"/>
    <w:next w:val="a"/>
    <w:uiPriority w:val="9"/>
    <w:qFormat/>
    <w:pPr>
      <w:keepNext/>
      <w:numPr>
        <w:ilvl w:val="4"/>
        <w:numId w:val="1"/>
      </w:numPr>
      <w:spacing w:before="120"/>
      <w:outlineLvl w:val="4"/>
    </w:pPr>
    <w:rPr>
      <w:rFonts w:ascii="Arial" w:hAnsi="Arial"/>
    </w:rPr>
  </w:style>
  <w:style w:type="paragraph" w:styleId="6">
    <w:name w:val="heading 6"/>
    <w:basedOn w:val="a"/>
    <w:next w:val="a"/>
    <w:uiPriority w:val="9"/>
    <w:qFormat/>
    <w:pPr>
      <w:keepNext/>
      <w:numPr>
        <w:ilvl w:val="5"/>
        <w:numId w:val="1"/>
      </w:numPr>
      <w:spacing w:before="120"/>
      <w:outlineLvl w:val="5"/>
    </w:pPr>
    <w:rPr>
      <w:rFonts w:ascii="Arial" w:hAnsi="Arial"/>
    </w:rPr>
  </w:style>
  <w:style w:type="paragraph" w:styleId="7">
    <w:name w:val="heading 7"/>
    <w:basedOn w:val="a"/>
    <w:next w:val="a"/>
    <w:uiPriority w:val="9"/>
    <w:qFormat/>
    <w:pPr>
      <w:keepNext/>
      <w:numPr>
        <w:ilvl w:val="6"/>
        <w:numId w:val="1"/>
      </w:numPr>
      <w:spacing w:before="120"/>
      <w:outlineLvl w:val="6"/>
    </w:pPr>
    <w:rPr>
      <w:rFonts w:ascii="Arial" w:hAnsi="Arial"/>
    </w:rPr>
  </w:style>
  <w:style w:type="paragraph" w:styleId="8">
    <w:name w:val="heading 8"/>
    <w:basedOn w:val="a"/>
    <w:next w:val="a"/>
    <w:uiPriority w:val="9"/>
    <w:qFormat/>
    <w:pPr>
      <w:keepNext/>
      <w:numPr>
        <w:ilvl w:val="7"/>
        <w:numId w:val="1"/>
      </w:numPr>
      <w:spacing w:before="120"/>
      <w:outlineLvl w:val="7"/>
    </w:pPr>
    <w:rPr>
      <w:rFonts w:ascii="Arial" w:hAnsi="Arial"/>
    </w:rPr>
  </w:style>
  <w:style w:type="paragraph" w:styleId="9">
    <w:name w:val="heading 9"/>
    <w:basedOn w:val="a"/>
    <w:next w:val="a"/>
    <w:uiPriority w:val="9"/>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qFormat/>
    <w:pPr>
      <w:tabs>
        <w:tab w:val="left" w:pos="1418"/>
        <w:tab w:val="left" w:pos="4678"/>
        <w:tab w:val="left" w:pos="5954"/>
        <w:tab w:val="left" w:pos="7088"/>
      </w:tabs>
      <w:spacing w:after="240"/>
    </w:pPr>
    <w:rPr>
      <w:rFonts w:ascii="Arial" w:hAnsi="Arial"/>
    </w:rPr>
  </w:style>
  <w:style w:type="paragraph" w:styleId="a4">
    <w:name w:val="Body Text"/>
    <w:basedOn w:val="a"/>
    <w:semiHidden/>
    <w:qFormat/>
    <w:rPr>
      <w:rFonts w:ascii="Arial" w:hAnsi="Arial" w:cs="Arial"/>
      <w:color w:val="FF0000"/>
    </w:rPr>
  </w:style>
  <w:style w:type="paragraph" w:styleId="20">
    <w:name w:val="List 2"/>
    <w:basedOn w:val="a"/>
    <w:uiPriority w:val="99"/>
    <w:semiHidden/>
    <w:unhideWhenUsed/>
    <w:qFormat/>
    <w:pPr>
      <w:ind w:leftChars="200" w:left="100" w:hangingChars="200" w:hanging="200"/>
      <w:contextualSpacing/>
    </w:pPr>
  </w:style>
  <w:style w:type="paragraph" w:styleId="a5">
    <w:name w:val="Balloon Text"/>
    <w:basedOn w:val="a"/>
    <w:link w:val="Char0"/>
    <w:uiPriority w:val="99"/>
    <w:semiHidden/>
    <w:unhideWhenUsed/>
    <w:qFormat/>
    <w:rPr>
      <w:rFonts w:ascii="Segoe UI" w:hAnsi="Segoe UI" w:cs="Segoe UI"/>
      <w:sz w:val="18"/>
      <w:szCs w:val="18"/>
    </w:rPr>
  </w:style>
  <w:style w:type="paragraph" w:styleId="a6">
    <w:name w:val="footer"/>
    <w:basedOn w:val="a"/>
    <w:semiHidden/>
    <w:qFormat/>
    <w:pPr>
      <w:tabs>
        <w:tab w:val="center" w:pos="4153"/>
        <w:tab w:val="right" w:pos="8306"/>
      </w:tabs>
    </w:pPr>
  </w:style>
  <w:style w:type="paragraph" w:styleId="a7">
    <w:name w:val="header"/>
    <w:basedOn w:val="a"/>
    <w:semiHidden/>
    <w:qFormat/>
    <w:pPr>
      <w:tabs>
        <w:tab w:val="center" w:pos="4153"/>
        <w:tab w:val="right" w:pos="8306"/>
      </w:tabs>
    </w:pPr>
  </w:style>
  <w:style w:type="paragraph" w:styleId="a8">
    <w:name w:val="List"/>
    <w:basedOn w:val="a"/>
    <w:uiPriority w:val="99"/>
    <w:semiHidden/>
    <w:unhideWhenUsed/>
    <w:qFormat/>
    <w:pPr>
      <w:ind w:left="200" w:hangingChars="200" w:hanging="200"/>
      <w:contextualSpacing/>
    </w:pPr>
  </w:style>
  <w:style w:type="paragraph" w:styleId="a9">
    <w:name w:val="annotation subject"/>
    <w:basedOn w:val="a3"/>
    <w:next w:val="a3"/>
    <w:link w:val="Char1"/>
    <w:uiPriority w:val="99"/>
    <w:semiHidden/>
    <w:unhideWhenUsed/>
    <w:qFormat/>
    <w:pPr>
      <w:tabs>
        <w:tab w:val="clear" w:pos="1418"/>
        <w:tab w:val="clear" w:pos="4678"/>
        <w:tab w:val="clear" w:pos="5954"/>
        <w:tab w:val="clear" w:pos="7088"/>
      </w:tabs>
      <w:spacing w:after="120"/>
      <w:jc w:val="left"/>
    </w:pPr>
    <w:rPr>
      <w:rFonts w:ascii="Times New Roman" w:hAnsi="Times New Roman"/>
      <w:b/>
      <w:bCs/>
    </w:rPr>
  </w:style>
  <w:style w:type="table" w:styleId="aa">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uiPriority w:val="22"/>
    <w:qFormat/>
    <w:rPr>
      <w:b/>
      <w:bCs/>
    </w:rPr>
  </w:style>
  <w:style w:type="character" w:styleId="ac">
    <w:name w:val="page number"/>
    <w:basedOn w:val="a0"/>
    <w:semiHidden/>
    <w:qFormat/>
  </w:style>
  <w:style w:type="character" w:styleId="ad">
    <w:name w:val="annotation reference"/>
    <w:semiHidden/>
    <w:qFormat/>
    <w:rPr>
      <w:sz w:val="16"/>
    </w:rPr>
  </w:style>
  <w:style w:type="character" w:customStyle="1" w:styleId="Char0">
    <w:name w:val="批注框文本 Char"/>
    <w:link w:val="a5"/>
    <w:uiPriority w:val="99"/>
    <w:semiHidden/>
    <w:qFormat/>
    <w:rPr>
      <w:rFonts w:ascii="Segoe UI" w:hAnsi="Segoe UI" w:cs="Segoe UI"/>
      <w:sz w:val="18"/>
      <w:szCs w:val="18"/>
      <w:lang w:eastAsia="en-US"/>
    </w:rPr>
  </w:style>
  <w:style w:type="paragraph" w:customStyle="1" w:styleId="DECISION">
    <w:name w:val="DECISION"/>
    <w:basedOn w:val="a"/>
    <w:qFormat/>
    <w:pPr>
      <w:widowControl w:val="0"/>
      <w:numPr>
        <w:numId w:val="2"/>
      </w:numPr>
      <w:spacing w:before="120"/>
    </w:pPr>
    <w:rPr>
      <w:rFonts w:ascii="Arial" w:hAnsi="Arial"/>
      <w:b/>
      <w:color w:val="0000FF"/>
      <w:u w:val="single"/>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paragraph" w:styleId="ae">
    <w:name w:val="List Paragraph"/>
    <w:basedOn w:val="a"/>
    <w:link w:val="Char2"/>
    <w:uiPriority w:val="34"/>
    <w:qFormat/>
    <w:pPr>
      <w:ind w:left="720"/>
    </w:pPr>
  </w:style>
  <w:style w:type="character" w:customStyle="1" w:styleId="10">
    <w:name w:val="不明显参考1"/>
    <w:uiPriority w:val="31"/>
    <w:qFormat/>
    <w:rPr>
      <w:smallCaps/>
      <w:color w:val="5A5A5A"/>
    </w:rPr>
  </w:style>
  <w:style w:type="paragraph" w:customStyle="1" w:styleId="References">
    <w:name w:val="References"/>
    <w:basedOn w:val="a"/>
    <w:link w:val="References0"/>
    <w:qFormat/>
    <w:pPr>
      <w:numPr>
        <w:numId w:val="6"/>
      </w:numPr>
      <w:spacing w:after="60"/>
    </w:pPr>
  </w:style>
  <w:style w:type="character" w:customStyle="1" w:styleId="References0">
    <w:name w:val="References 字符"/>
    <w:link w:val="References"/>
    <w:qFormat/>
    <w:rPr>
      <w:lang w:val="en-GB" w:eastAsia="en-US"/>
    </w:rPr>
  </w:style>
  <w:style w:type="paragraph" w:styleId="af">
    <w:name w:val="Quote"/>
    <w:basedOn w:val="a"/>
    <w:next w:val="a"/>
    <w:link w:val="Char3"/>
    <w:uiPriority w:val="29"/>
    <w:qFormat/>
    <w:pPr>
      <w:spacing w:before="200" w:after="160"/>
      <w:ind w:left="864" w:right="864"/>
      <w:jc w:val="center"/>
    </w:pPr>
    <w:rPr>
      <w:i/>
      <w:iCs/>
      <w:color w:val="404040"/>
    </w:rPr>
  </w:style>
  <w:style w:type="character" w:customStyle="1" w:styleId="Char3">
    <w:name w:val="引用 Char"/>
    <w:link w:val="af"/>
    <w:uiPriority w:val="29"/>
    <w:qFormat/>
    <w:rPr>
      <w:i/>
      <w:iCs/>
      <w:color w:val="404040"/>
      <w:lang w:val="en-GB" w:eastAsia="en-US"/>
    </w:rPr>
  </w:style>
  <w:style w:type="character" w:customStyle="1" w:styleId="11">
    <w:name w:val="书籍标题1"/>
    <w:uiPriority w:val="33"/>
    <w:qFormat/>
    <w:rPr>
      <w:b/>
      <w:bCs/>
      <w:i/>
      <w:iCs/>
      <w:spacing w:val="5"/>
    </w:rPr>
  </w:style>
  <w:style w:type="paragraph" w:styleId="af0">
    <w:name w:val="No Spacing"/>
    <w:uiPriority w:val="1"/>
    <w:qFormat/>
    <w:rPr>
      <w:rFonts w:eastAsia="Times New Roman"/>
      <w:lang w:val="en-GB" w:eastAsia="en-US"/>
    </w:rPr>
  </w:style>
  <w:style w:type="character" w:customStyle="1" w:styleId="Char2">
    <w:name w:val="列出段落 Char"/>
    <w:link w:val="ae"/>
    <w:uiPriority w:val="34"/>
    <w:qFormat/>
    <w:locked/>
    <w:rPr>
      <w:rFonts w:eastAsia="宋体"/>
      <w:lang w:val="en-GB" w:eastAsia="en-US"/>
    </w:rPr>
  </w:style>
  <w:style w:type="paragraph" w:customStyle="1" w:styleId="TAL">
    <w:name w:val="TAL"/>
    <w:basedOn w:val="a"/>
    <w:link w:val="TALCar"/>
    <w:qFormat/>
    <w:pPr>
      <w:keepNext/>
      <w:keepLines/>
      <w:overflowPunct w:val="0"/>
      <w:autoSpaceDE w:val="0"/>
      <w:autoSpaceDN w:val="0"/>
      <w:adjustRightInd w:val="0"/>
      <w:snapToGrid/>
      <w:spacing w:after="0"/>
      <w:textAlignment w:val="baseline"/>
    </w:pPr>
    <w:rPr>
      <w:rFonts w:ascii="Arial" w:hAnsi="Arial"/>
      <w:sz w:val="18"/>
    </w:rPr>
  </w:style>
  <w:style w:type="character" w:customStyle="1" w:styleId="TALCar">
    <w:name w:val="TAL Car"/>
    <w:basedOn w:val="a0"/>
    <w:link w:val="TAL"/>
    <w:qFormat/>
    <w:locked/>
    <w:rPr>
      <w:rFonts w:ascii="Arial" w:eastAsia="宋体" w:hAnsi="Arial"/>
      <w:sz w:val="18"/>
      <w:lang w:eastAsia="en-US"/>
    </w:rPr>
  </w:style>
  <w:style w:type="paragraph" w:customStyle="1" w:styleId="ListParagraph1">
    <w:name w:val="List Paragraph1"/>
    <w:basedOn w:val="a"/>
    <w:link w:val="ListParagraphChar"/>
    <w:uiPriority w:val="34"/>
    <w:qFormat/>
    <w:pPr>
      <w:snapToGrid/>
      <w:ind w:left="720" w:hanging="360"/>
    </w:pPr>
    <w:rPr>
      <w:rFonts w:eastAsia="Calibri"/>
      <w:szCs w:val="22"/>
    </w:rPr>
  </w:style>
  <w:style w:type="character" w:customStyle="1" w:styleId="ListParagraphChar">
    <w:name w:val="List Paragraph Char"/>
    <w:link w:val="ListParagraph1"/>
    <w:uiPriority w:val="34"/>
    <w:qFormat/>
    <w:locked/>
    <w:rPr>
      <w:rFonts w:eastAsia="Calibri"/>
      <w:szCs w:val="22"/>
      <w:lang w:val="en-GB" w:eastAsia="en-US"/>
    </w:rPr>
  </w:style>
  <w:style w:type="paragraph" w:customStyle="1" w:styleId="B1">
    <w:name w:val="B1"/>
    <w:basedOn w:val="a8"/>
    <w:link w:val="B1Char1"/>
    <w:qFormat/>
    <w:pPr>
      <w:overflowPunct w:val="0"/>
      <w:autoSpaceDE w:val="0"/>
      <w:autoSpaceDN w:val="0"/>
      <w:adjustRightInd w:val="0"/>
      <w:snapToGrid/>
      <w:spacing w:after="180"/>
      <w:ind w:left="284" w:firstLineChars="0" w:firstLine="0"/>
      <w:contextualSpacing w:val="0"/>
      <w:textAlignment w:val="baseline"/>
    </w:pPr>
  </w:style>
  <w:style w:type="character" w:customStyle="1" w:styleId="B1Char1">
    <w:name w:val="B1 Char1"/>
    <w:basedOn w:val="a0"/>
    <w:link w:val="B1"/>
    <w:qFormat/>
    <w:locked/>
    <w:rPr>
      <w:rFonts w:eastAsia="宋体"/>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a"/>
    <w:link w:val="THChar"/>
    <w:qFormat/>
    <w:pPr>
      <w:keepNext/>
      <w:keepLines/>
      <w:overflowPunct w:val="0"/>
      <w:autoSpaceDE w:val="0"/>
      <w:autoSpaceDN w:val="0"/>
      <w:adjustRightInd w:val="0"/>
      <w:snapToGrid/>
      <w:spacing w:before="60" w:after="180"/>
      <w:jc w:val="center"/>
      <w:textAlignment w:val="baseline"/>
    </w:pPr>
    <w:rPr>
      <w:rFonts w:ascii="Arial" w:hAnsi="Arial"/>
      <w:b/>
    </w:rPr>
  </w:style>
  <w:style w:type="paragraph" w:customStyle="1" w:styleId="TAN">
    <w:name w:val="TAN"/>
    <w:basedOn w:val="TAL"/>
    <w:link w:val="TANChar"/>
    <w:qFormat/>
    <w:pPr>
      <w:ind w:left="851" w:hanging="851"/>
    </w:pPr>
  </w:style>
  <w:style w:type="character" w:customStyle="1" w:styleId="TACChar">
    <w:name w:val="TAC Char"/>
    <w:link w:val="TAC"/>
    <w:qFormat/>
    <w:rPr>
      <w:rFonts w:ascii="Arial" w:eastAsia="宋体" w:hAnsi="Arial"/>
      <w:sz w:val="18"/>
      <w:lang w:eastAsia="en-US"/>
    </w:rPr>
  </w:style>
  <w:style w:type="character" w:customStyle="1" w:styleId="THChar">
    <w:name w:val="TH Char"/>
    <w:link w:val="TH"/>
    <w:qFormat/>
    <w:rPr>
      <w:rFonts w:ascii="Arial" w:eastAsia="宋体" w:hAnsi="Arial"/>
      <w:b/>
      <w:lang w:eastAsia="en-US"/>
    </w:rPr>
  </w:style>
  <w:style w:type="character" w:customStyle="1" w:styleId="TAHCar">
    <w:name w:val="TAH Car"/>
    <w:link w:val="TAH"/>
    <w:qFormat/>
    <w:rPr>
      <w:rFonts w:ascii="Arial" w:eastAsia="宋体" w:hAnsi="Arial"/>
      <w:b/>
      <w:sz w:val="18"/>
      <w:lang w:eastAsia="en-US"/>
    </w:rPr>
  </w:style>
  <w:style w:type="character" w:customStyle="1" w:styleId="TANChar">
    <w:name w:val="TAN Char"/>
    <w:link w:val="TAN"/>
    <w:qFormat/>
    <w:rPr>
      <w:rFonts w:ascii="Arial" w:eastAsia="宋体" w:hAnsi="Arial"/>
      <w:sz w:val="18"/>
      <w:lang w:eastAsia="en-US"/>
    </w:rPr>
  </w:style>
  <w:style w:type="paragraph" w:customStyle="1" w:styleId="-Bullets">
    <w:name w:val="- Bullets"/>
    <w:basedOn w:val="a"/>
    <w:next w:val="ae"/>
    <w:link w:val="af1"/>
    <w:uiPriority w:val="34"/>
    <w:qFormat/>
    <w:pPr>
      <w:snapToGrid/>
      <w:spacing w:after="0"/>
      <w:ind w:leftChars="400" w:left="840"/>
      <w:jc w:val="left"/>
    </w:pPr>
    <w:rPr>
      <w:rFonts w:ascii="Times" w:hAnsi="Times"/>
      <w:szCs w:val="24"/>
      <w:lang w:val="en-GB"/>
    </w:rPr>
  </w:style>
  <w:style w:type="character" w:customStyle="1" w:styleId="af1">
    <w:name w:val="列表段落 字符"/>
    <w:link w:val="-Bullets"/>
    <w:uiPriority w:val="34"/>
    <w:qFormat/>
    <w:rPr>
      <w:rFonts w:ascii="Times" w:hAnsi="Times"/>
      <w:szCs w:val="24"/>
      <w:lang w:val="en-GB"/>
    </w:rPr>
  </w:style>
  <w:style w:type="paragraph" w:customStyle="1" w:styleId="12">
    <w:name w:val="正文1"/>
    <w:qFormat/>
    <w:pPr>
      <w:jc w:val="both"/>
    </w:pPr>
    <w:rPr>
      <w:kern w:val="2"/>
      <w:sz w:val="21"/>
      <w:szCs w:val="21"/>
    </w:rPr>
  </w:style>
  <w:style w:type="character" w:customStyle="1" w:styleId="Char">
    <w:name w:val="批注文字 Char"/>
    <w:basedOn w:val="a0"/>
    <w:link w:val="a3"/>
    <w:qFormat/>
    <w:rPr>
      <w:rFonts w:ascii="Arial" w:hAnsi="Arial"/>
    </w:rPr>
  </w:style>
  <w:style w:type="character" w:customStyle="1" w:styleId="Char1">
    <w:name w:val="批注主题 Char"/>
    <w:basedOn w:val="Char"/>
    <w:link w:val="a9"/>
    <w:uiPriority w:val="99"/>
    <w:semiHidden/>
    <w:qFormat/>
    <w:rPr>
      <w:rFonts w:ascii="Arial" w:hAnsi="Arial"/>
      <w:b/>
      <w:bCs/>
    </w:rPr>
  </w:style>
  <w:style w:type="paragraph" w:customStyle="1" w:styleId="af2">
    <w:name w:val="목록 단락"/>
    <w:basedOn w:val="a"/>
    <w:next w:val="ae"/>
    <w:uiPriority w:val="34"/>
    <w:qFormat/>
    <w:pPr>
      <w:snapToGrid/>
      <w:spacing w:after="0"/>
      <w:ind w:leftChars="400" w:left="840"/>
      <w:jc w:val="left"/>
    </w:pPr>
    <w:rPr>
      <w:rFonts w:ascii="Times" w:eastAsia="Batang" w:hAnsi="Times"/>
      <w:szCs w:val="24"/>
      <w:lang w:val="en-GB" w:eastAsia="en-US"/>
    </w:rPr>
  </w:style>
  <w:style w:type="paragraph" w:customStyle="1" w:styleId="B2">
    <w:name w:val="B2"/>
    <w:basedOn w:val="20"/>
    <w:link w:val="B2Char"/>
    <w:qFormat/>
    <w:pPr>
      <w:snapToGrid/>
      <w:spacing w:after="180"/>
      <w:ind w:leftChars="0" w:left="851" w:firstLineChars="0" w:hanging="284"/>
      <w:contextualSpacing w:val="0"/>
      <w:jc w:val="left"/>
    </w:pPr>
    <w:rPr>
      <w:rFonts w:eastAsiaTheme="minorEastAsia"/>
      <w:lang w:val="en-GB" w:eastAsia="en-US"/>
    </w:rPr>
  </w:style>
  <w:style w:type="character" w:customStyle="1" w:styleId="B2Char">
    <w:name w:val="B2 Char"/>
    <w:link w:val="B2"/>
    <w:qFormat/>
    <w:locked/>
    <w:rPr>
      <w:rFonts w:eastAsiaTheme="minorEastAsia"/>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ED8A68-F812-4134-A5DD-2614C7A9AA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2</Pages>
  <Words>800</Words>
  <Characters>4562</Characters>
  <Application>Microsoft Office Word</Application>
  <DocSecurity>0</DocSecurity>
  <Lines>38</Lines>
  <Paragraphs>10</Paragraphs>
  <ScaleCrop>false</ScaleCrop>
  <Company>ZTE Corporation</Company>
  <LinksUpToDate>false</LinksUpToDate>
  <CharactersWithSpaces>5352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cp:lastModifiedBy>
  <cp:revision>11</cp:revision>
  <cp:lastPrinted>2002-04-23T01:10:00Z</cp:lastPrinted>
  <dcterms:created xsi:type="dcterms:W3CDTF">2023-09-25T08:07:00Z</dcterms:created>
  <dcterms:modified xsi:type="dcterms:W3CDTF">2023-11-03T06:23:00Z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FA302CDCF2604BA2B8DC01C77BC10D07</vt:lpwstr>
  </property>
</Properties>
</file>